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tabs>
          <w:tab w:leader="none" w:pos="9220" w:val="left"/>
        </w:tabs>
        <w:rPr>
          <w:sz w:val="20"/>
          <w:szCs w:val="20"/>
          <w:color w:val="auto"/>
        </w:rPr>
      </w:pPr>
      <w:r>
        <w:rPr>
          <w:rFonts w:ascii="Arial" w:cs="Arial" w:eastAsia="Arial" w:hAnsi="Arial"/>
          <w:sz w:val="18"/>
          <w:szCs w:val="18"/>
          <w:b w:val="1"/>
          <w:bCs w:val="1"/>
          <w:color w:val="auto"/>
        </w:rPr>
        <w:t>As filed with the Securities and Exchange Commission on April 9, 2018</w:t>
      </w:r>
      <w:r>
        <w:rPr>
          <w:sz w:val="20"/>
          <w:szCs w:val="20"/>
          <w:color w:val="auto"/>
        </w:rPr>
        <w:tab/>
      </w:r>
      <w:r>
        <w:rPr>
          <w:rFonts w:ascii="Arial" w:cs="Arial" w:eastAsia="Arial" w:hAnsi="Arial"/>
          <w:sz w:val="16"/>
          <w:szCs w:val="16"/>
          <w:b w:val="1"/>
          <w:bCs w:val="1"/>
          <w:color w:val="auto"/>
        </w:rPr>
        <w:t>Registration No. 333-223890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377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14605</wp:posOffset>
            </wp:positionV>
            <wp:extent cx="3542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PRE-EFFECTIVE 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F-6</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160020</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160020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160020</wp:posOffset>
            </wp:positionV>
            <wp:extent cx="3542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20" w:type="dxa"/>
            <w:vAlign w:val="bottom"/>
            <w:gridSpan w:val="4"/>
            <w:vMerge w:val="restart"/>
          </w:tcPr>
          <w:p>
            <w:pPr>
              <w:jc w:val="center"/>
              <w:ind w:right="360"/>
              <w:spacing w:after="0"/>
              <w:rPr>
                <w:sz w:val="20"/>
                <w:szCs w:val="20"/>
                <w:color w:val="auto"/>
              </w:rPr>
            </w:pPr>
            <w:r>
              <w:rPr>
                <w:rFonts w:ascii="Arial" w:cs="Arial" w:eastAsia="Arial" w:hAnsi="Arial"/>
                <w:sz w:val="18"/>
                <w:szCs w:val="18"/>
                <w:b w:val="1"/>
                <w:bCs w:val="1"/>
                <w:color w:val="auto"/>
                <w:w w:val="94"/>
              </w:rPr>
              <w:t>Mark V. Roeder</w:t>
            </w:r>
          </w:p>
        </w:tc>
        <w:tc>
          <w:tcPr>
            <w:tcW w:w="1340" w:type="dxa"/>
            <w:vAlign w:val="bottom"/>
          </w:tcPr>
          <w:p>
            <w:pPr>
              <w:spacing w:after="0"/>
              <w:rPr>
                <w:sz w:val="20"/>
                <w:szCs w:val="20"/>
                <w:color w:val="auto"/>
              </w:rPr>
            </w:pPr>
          </w:p>
        </w:tc>
        <w:tc>
          <w:tcPr>
            <w:tcW w:w="2340" w:type="dxa"/>
            <w:vAlign w:val="bottom"/>
            <w:gridSpan w:val="2"/>
          </w:tcPr>
          <w:p>
            <w:pPr>
              <w:jc w:val="center"/>
              <w:ind w:right="1310"/>
              <w:spacing w:after="0"/>
              <w:rPr>
                <w:sz w:val="20"/>
                <w:szCs w:val="20"/>
                <w:color w:val="auto"/>
              </w:rPr>
            </w:pPr>
            <w:r>
              <w:rPr>
                <w:rFonts w:ascii="Arial" w:cs="Arial" w:eastAsia="Arial" w:hAnsi="Arial"/>
                <w:sz w:val="18"/>
                <w:szCs w:val="18"/>
                <w:color w:val="auto"/>
                <w:w w:val="91"/>
              </w:rPr>
              <w:t>Copies to:</w:t>
            </w:r>
          </w:p>
        </w:tc>
        <w:tc>
          <w:tcPr>
            <w:tcW w:w="22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2"/>
              </w:rPr>
              <w:t>Herman H. Raspé, Esq.</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0" w:type="dxa"/>
            <w:vAlign w:val="bottom"/>
            <w:gridSpan w:val="3"/>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Nathan Ajiashvili</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jc w:val="center"/>
              <w:ind w:left="1730"/>
              <w:spacing w:after="0"/>
              <w:rPr>
                <w:sz w:val="20"/>
                <w:szCs w:val="20"/>
                <w:color w:val="auto"/>
              </w:rPr>
            </w:pPr>
            <w:r>
              <w:rPr>
                <w:rFonts w:ascii="Arial" w:cs="Arial" w:eastAsia="Arial" w:hAnsi="Arial"/>
                <w:sz w:val="18"/>
                <w:szCs w:val="18"/>
                <w:b w:val="1"/>
                <w:bCs w:val="1"/>
                <w:color w:val="auto"/>
                <w:w w:val="94"/>
              </w:rPr>
              <w:t>Claire A. Keast-Butler</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4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88"/>
              </w:rPr>
              <w:t>1133 Avenue of the Americas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jc w:val="center"/>
              <w:ind w:left="1710"/>
              <w:spacing w:after="0"/>
              <w:rPr>
                <w:sz w:val="20"/>
                <w:szCs w:val="20"/>
                <w:color w:val="auto"/>
              </w:rPr>
            </w:pPr>
            <w:r>
              <w:rPr>
                <w:rFonts w:ascii="Arial" w:cs="Arial" w:eastAsia="Arial" w:hAnsi="Arial"/>
                <w:sz w:val="18"/>
                <w:szCs w:val="18"/>
                <w:b w:val="1"/>
                <w:bCs w:val="1"/>
                <w:color w:val="auto"/>
                <w:w w:val="96"/>
              </w:rPr>
              <w:t>Latham &amp; Watkins LLP</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4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1"/>
              </w:rPr>
              <w:t>New York, New York 10036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140 Scott Drive</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93"/>
              </w:rPr>
              <w:t>Menlo Park, California 94025</w:t>
            </w:r>
          </w:p>
        </w:tc>
        <w:tc>
          <w:tcPr>
            <w:tcW w:w="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220" w:type="dxa"/>
            <w:vAlign w:val="bottom"/>
            <w:gridSpan w:val="6"/>
          </w:tcPr>
          <w:p>
            <w:pPr>
              <w:ind w:left="340"/>
              <w:spacing w:after="0"/>
              <w:rPr>
                <w:sz w:val="20"/>
                <w:szCs w:val="20"/>
                <w:color w:val="auto"/>
              </w:rPr>
            </w:pPr>
            <w:r>
              <w:rPr>
                <w:rFonts w:ascii="Arial" w:cs="Arial" w:eastAsia="Arial" w:hAnsi="Arial"/>
                <w:sz w:val="18"/>
                <w:szCs w:val="18"/>
                <w:color w:val="auto"/>
                <w:w w:val="98"/>
              </w:rPr>
              <w:t>It is proposed that this filing become effective under Rule 466:</w:t>
            </w:r>
          </w:p>
        </w:tc>
        <w:tc>
          <w:tcPr>
            <w:tcW w:w="400" w:type="dxa"/>
            <w:vAlign w:val="bottom"/>
          </w:tcPr>
          <w:p>
            <w:pPr>
              <w:spacing w:after="0"/>
              <w:rPr>
                <w:sz w:val="24"/>
                <w:szCs w:val="24"/>
                <w:color w:val="auto"/>
              </w:rPr>
            </w:pPr>
          </w:p>
        </w:tc>
        <w:tc>
          <w:tcPr>
            <w:tcW w:w="2860" w:type="dxa"/>
            <w:vAlign w:val="bottom"/>
            <w:gridSpan w:val="2"/>
          </w:tcPr>
          <w:p>
            <w:pPr>
              <w:ind w:left="74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immediately upon filing.</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40" w:type="dxa"/>
            <w:vAlign w:val="bottom"/>
            <w:gridSpan w:val="4"/>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760" w:type="dxa"/>
            <w:vAlign w:val="bottom"/>
            <w:gridSpan w:val="11"/>
          </w:tcPr>
          <w:p>
            <w:pPr>
              <w:ind w:left="300"/>
              <w:spacing w:after="0"/>
              <w:rPr>
                <w:sz w:val="20"/>
                <w:szCs w:val="20"/>
                <w:color w:val="auto"/>
              </w:rPr>
            </w:pPr>
            <w:r>
              <w:rPr>
                <w:rFonts w:ascii="Arial" w:cs="Arial" w:eastAsia="Arial" w:hAnsi="Arial"/>
                <w:sz w:val="18"/>
                <w:szCs w:val="18"/>
                <w:color w:val="auto"/>
              </w:rPr>
              <w:t>If a separate registration statement has been filed to register the deposited shares, check the following box: 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3"/>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tcBorders>
              <w:right w:val="single" w:sz="8" w:color="auto"/>
            </w:tcBorders>
            <w:gridSpan w:val="4"/>
          </w:tcPr>
          <w:p>
            <w:pPr>
              <w:jc w:val="center"/>
              <w:ind w:right="20"/>
              <w:spacing w:after="0" w:line="195" w:lineRule="exact"/>
              <w:rPr>
                <w:sz w:val="20"/>
                <w:szCs w:val="20"/>
                <w:color w:val="auto"/>
              </w:rPr>
            </w:pPr>
            <w:r>
              <w:rPr>
                <w:rFonts w:ascii="Arial" w:cs="Arial" w:eastAsia="Arial" w:hAnsi="Arial"/>
                <w:sz w:val="18"/>
                <w:szCs w:val="18"/>
                <w:color w:val="auto"/>
                <w:w w:val="91"/>
              </w:rPr>
              <w:t>Title of Each Class of</w:t>
            </w:r>
          </w:p>
        </w:tc>
        <w:tc>
          <w:tcPr>
            <w:tcW w:w="220" w:type="dxa"/>
            <w:vAlign w:val="bottom"/>
          </w:tcPr>
          <w:p>
            <w:pPr>
              <w:spacing w:after="0"/>
              <w:rPr>
                <w:sz w:val="16"/>
                <w:szCs w:val="16"/>
                <w:color w:val="auto"/>
              </w:rPr>
            </w:pPr>
          </w:p>
        </w:tc>
        <w:tc>
          <w:tcPr>
            <w:tcW w:w="134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1"/>
              </w:rPr>
              <w:t>Amount to be</w:t>
            </w:r>
          </w:p>
        </w:tc>
        <w:tc>
          <w:tcPr>
            <w:tcW w:w="4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20" w:type="dxa"/>
            <w:vAlign w:val="bottom"/>
            <w:tcBorders>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1"/>
              </w:rPr>
              <w:t>Proposed Maximum</w:t>
            </w:r>
          </w:p>
        </w:tc>
        <w:tc>
          <w:tcPr>
            <w:tcW w:w="280" w:type="dxa"/>
            <w:vAlign w:val="bottom"/>
          </w:tcPr>
          <w:p>
            <w:pPr>
              <w:spacing w:after="0"/>
              <w:rPr>
                <w:sz w:val="16"/>
                <w:szCs w:val="16"/>
                <w:color w:val="auto"/>
              </w:rPr>
            </w:pPr>
          </w:p>
        </w:tc>
        <w:tc>
          <w:tcPr>
            <w:tcW w:w="164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Securities to be Registered</w:t>
            </w:r>
          </w:p>
        </w:tc>
        <w:tc>
          <w:tcPr>
            <w:tcW w:w="2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89"/>
              </w:rPr>
              <w:t>Registered</w:t>
            </w:r>
          </w:p>
        </w:tc>
        <w:tc>
          <w:tcPr>
            <w:tcW w:w="4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Aggregate Price Per Unit*</w:t>
            </w:r>
          </w:p>
        </w:tc>
        <w:tc>
          <w:tcPr>
            <w:tcW w:w="19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Aggregate Offering</w:t>
            </w:r>
          </w:p>
        </w:tc>
        <w:tc>
          <w:tcPr>
            <w:tcW w:w="28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color w:val="auto"/>
                <w:w w:val="90"/>
              </w:rPr>
              <w:t>Registration Fee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8"/>
              </w:rPr>
              <w:t>Price**</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w w:val="91"/>
              </w:rPr>
              <w:t>American Depositary Shares (ADS(s)), each ADS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3"/>
              </w:rPr>
              <w:t>representing the right to receive four (4) Ordinary</w:t>
            </w:r>
          </w:p>
        </w:tc>
        <w:tc>
          <w:tcPr>
            <w:tcW w:w="220" w:type="dxa"/>
            <w:vAlign w:val="bottom"/>
          </w:tcPr>
          <w:p>
            <w:pPr>
              <w:spacing w:after="0"/>
              <w:rPr>
                <w:sz w:val="19"/>
                <w:szCs w:val="19"/>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9"/>
              </w:rPr>
              <w:t>N/A</w:t>
            </w:r>
          </w:p>
        </w:tc>
        <w:tc>
          <w:tcPr>
            <w:tcW w:w="4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9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Shares of Mereo BioPharma Group plc.</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gridSpan w:val="6"/>
          </w:tcPr>
          <w:p>
            <w:pPr>
              <w:spacing w:after="0"/>
              <w:rPr>
                <w:sz w:val="20"/>
                <w:szCs w:val="20"/>
                <w:color w:val="auto"/>
              </w:rPr>
            </w:pPr>
            <w:r>
              <w:rPr>
                <w:rFonts w:ascii="Arial" w:cs="Arial" w:eastAsia="Arial" w:hAnsi="Arial"/>
                <w:sz w:val="18"/>
                <w:szCs w:val="18"/>
                <w:color w:val="auto"/>
              </w:rPr>
              <w:t>*   Each unit represents 100 ADSs.</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60" w:right="380" w:hanging="352"/>
        <w:spacing w:after="0" w:line="259"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26" w:lineRule="exact"/>
        <w:rPr>
          <w:sz w:val="24"/>
          <w:szCs w:val="24"/>
          <w:color w:val="auto"/>
        </w:rPr>
      </w:pPr>
    </w:p>
    <w:p>
      <w:pPr>
        <w:ind w:left="360" w:right="680"/>
        <w:spacing w:after="0" w:line="335"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9" w:orient="portrait"/>
          <w:cols w:equalWidth="0" w:num="1">
            <w:col w:w="11420"/>
          </w:cols>
          <w:pgMar w:left="240" w:top="472" w:right="239" w:bottom="0" w:gutter="0" w:footer="0" w:header="0"/>
        </w:sectPr>
      </w:pPr>
    </w:p>
    <w:bookmarkStart w:id="1" w:name="page2"/>
    <w:bookmarkEnd w:id="1"/>
    <w:p>
      <w:pPr>
        <w:spacing w:after="0" w:line="243" w:lineRule="auto"/>
        <w:rPr>
          <w:sz w:val="20"/>
          <w:szCs w:val="20"/>
          <w:color w:val="auto"/>
        </w:rPr>
      </w:pPr>
      <w:r>
        <w:rPr>
          <w:rFonts w:ascii="Arial" w:cs="Arial" w:eastAsia="Arial" w:hAnsi="Arial"/>
          <w:sz w:val="22"/>
          <w:szCs w:val="22"/>
          <w:b w:val="1"/>
          <w:bCs w:val="1"/>
          <w:color w:val="auto"/>
        </w:rPr>
        <w:t>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215900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600" w:top="111" w:right="239" w:bottom="1440" w:gutter="0" w:footer="0" w:header="0"/>
        </w:sectPr>
      </w:pPr>
    </w:p>
    <w:bookmarkStart w:id="2" w:name="page3"/>
    <w:bookmarkEnd w:id="2"/>
    <w:p>
      <w:pPr>
        <w:ind w:left="100" w:right="99"/>
        <w:spacing w:after="0" w:line="342" w:lineRule="auto"/>
        <w:rPr>
          <w:sz w:val="20"/>
          <w:szCs w:val="20"/>
          <w:color w:val="auto"/>
        </w:rPr>
      </w:pPr>
      <w:r>
        <w:rPr>
          <w:rFonts w:ascii="Arial" w:cs="Arial" w:eastAsia="Arial" w:hAnsi="Arial"/>
          <w:sz w:val="16"/>
          <w:szCs w:val="16"/>
          <w:color w:val="auto"/>
        </w:rPr>
        <w:t>This Pre-Effective Amendment No. 1 to Registration Statement may be executed in any number of counterparts, each of which shall be deemed an original, and all of such counterparts together shall constitute one and the same instrument.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jc w:val="center"/>
              <w:ind w:left="263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0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jc w:val="center"/>
              <w:ind w:left="2650"/>
              <w:spacing w:after="0"/>
              <w:rPr>
                <w:sz w:val="20"/>
                <w:szCs w:val="20"/>
                <w:color w:val="auto"/>
              </w:rPr>
            </w:pPr>
            <w:r>
              <w:rPr>
                <w:rFonts w:ascii="Arial" w:cs="Arial" w:eastAsia="Arial" w:hAnsi="Arial"/>
                <w:sz w:val="18"/>
                <w:szCs w:val="18"/>
                <w:b w:val="1"/>
                <w:bCs w:val="1"/>
                <w:color w:val="auto"/>
                <w:w w:val="87"/>
              </w:rPr>
              <w:t>Cross Reference Sheet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70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40" w:type="dxa"/>
            <w:vAlign w:val="bottom"/>
          </w:tcPr>
          <w:p>
            <w:pPr>
              <w:spacing w:after="0"/>
              <w:rPr>
                <w:sz w:val="17"/>
                <w:szCs w:val="17"/>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20" w:type="dxa"/>
            <w:vAlign w:val="bottom"/>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(ix)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(19), (20) and (21).</w:t>
            </w:r>
          </w:p>
        </w:tc>
      </w:tr>
      <w:tr>
        <w:trPr>
          <w:trHeight w:val="20"/>
        </w:trPr>
        <w:tc>
          <w:tcPr>
            <w:tcW w:w="3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ADSs</w:t>
            </w:r>
          </w:p>
        </w:tc>
        <w:tc>
          <w:tcPr>
            <w:tcW w:w="10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660" w:type="dxa"/>
            <w:vAlign w:val="bottom"/>
            <w:gridSpan w:val="2"/>
          </w:tcPr>
          <w:p>
            <w:pPr>
              <w:ind w:left="8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0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00" w:right="559"/>
        <w:spacing w:after="0" w:line="264"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Deposit Agreement, by and among Mereo BioPharma Group 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w:t>
      </w:r>
    </w:p>
    <w:p>
      <w:pPr>
        <w:spacing w:after="0" w:line="23" w:lineRule="exact"/>
        <w:rPr>
          <w:rFonts w:ascii="Arial" w:cs="Arial" w:eastAsia="Arial" w:hAnsi="Arial"/>
          <w:sz w:val="18"/>
          <w:szCs w:val="18"/>
          <w:color w:val="auto"/>
        </w:rPr>
      </w:pPr>
    </w:p>
    <w:p>
      <w:pPr>
        <w:ind w:left="1300" w:right="8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 Agreement</w:t>
      </w:r>
      <w:r>
        <w:rPr>
          <w:rFonts w:ascii="Arial" w:cs="Arial" w:eastAsia="Arial" w:hAnsi="Arial"/>
          <w:sz w:val="18"/>
          <w:szCs w:val="18"/>
          <w:color w:val="auto"/>
        </w:rPr>
        <w:t>”). — Filed herewith as Exhibit (a).</w:t>
      </w:r>
    </w:p>
    <w:p>
      <w:pPr>
        <w:spacing w:after="0" w:line="183"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Previously filed.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Certificate under Rule 466. — None.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Previously filed.</w:t>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6" w:lineRule="exact"/>
        <w:rPr>
          <w:rFonts w:ascii="Arial" w:cs="Arial" w:eastAsia="Arial" w:hAnsi="Arial"/>
          <w:sz w:val="16"/>
          <w:szCs w:val="16"/>
          <w:color w:val="auto"/>
        </w:rPr>
      </w:pPr>
    </w:p>
    <w:p>
      <w:pPr>
        <w:ind w:left="1300" w:right="80" w:hanging="644"/>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created by the Deposit Agreement, by and among Mereo BioPharma Group plc, Citibank, N.A., as depositary, and all Holders and Beneficial Owners of American Depositary Shares to be issued thereunder,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New York, State of New York, on the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2018.</w:t>
      </w:r>
    </w:p>
    <w:p>
      <w:pPr>
        <w:spacing w:after="0" w:line="6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Depositary Share representing the right to receive four (4) Ordinary Shares of</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Galfo</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Keith Galfo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as amended, Mereo BioPharma Group plc certifies that it has reasonable grounds to believe that all the requirements for filing on Form F-6 are met and has duly caused this Pre-Effective Amendment No. 1 to Registration Statement on Form F-6 to be signed on its behalf by the undersigned thereunto duly authorized, in London, United Kingdom, on April 9, 2018.</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Denise Scots-Knight, Ph.D.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Pre-Effective Amendment No. 1 to Registration Statement on Form F-6 has been signed by the following persons in the following capacities on April 9,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Signature</w:t>
            </w:r>
          </w:p>
        </w:tc>
        <w:tc>
          <w:tcPr>
            <w:tcW w:w="4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360" w:type="dxa"/>
            <w:vAlign w:val="bottom"/>
          </w:tcPr>
          <w:p>
            <w:pPr>
              <w:spacing w:after="0"/>
              <w:rPr>
                <w:sz w:val="17"/>
                <w:szCs w:val="17"/>
                <w:color w:val="auto"/>
              </w:rPr>
            </w:pPr>
          </w:p>
        </w:tc>
      </w:tr>
      <w:tr>
        <w:trPr>
          <w:trHeight w:val="453"/>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w:t>
            </w: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Executive Officer and 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Denise Scots-Knight, Ph.D.</w:t>
            </w:r>
          </w:p>
        </w:tc>
        <w:tc>
          <w:tcPr>
            <w:tcW w:w="5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Financial Officer and 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Richard Jones</w:t>
            </w:r>
          </w:p>
        </w:tc>
        <w:tc>
          <w:tcPr>
            <w:tcW w:w="5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Peter Fellner, Ph.D.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Frank Armstrong, MBChB</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Paul Blackman</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Anders Ekblom, M.D., Ph.D.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3"/>
          </w:tcPr>
          <w:p>
            <w:pPr>
              <w:ind w:left="40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420"/>
          </w:cols>
          <w:pgMar w:left="240" w:top="34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Signature</w:t>
            </w:r>
          </w:p>
        </w:tc>
        <w:tc>
          <w:tcPr>
            <w:tcW w:w="1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r>
      <w:tr>
        <w:trPr>
          <w:trHeight w:val="453"/>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/s/ Denise Scots-Knight</w:t>
            </w:r>
          </w:p>
        </w:tc>
      </w:tr>
    </w:tbl>
    <w:p>
      <w:pPr>
        <w:ind w:left="460"/>
        <w:spacing w:after="0"/>
        <w:rPr>
          <w:sz w:val="20"/>
          <w:szCs w:val="20"/>
          <w:color w:val="auto"/>
        </w:rPr>
      </w:pPr>
      <w:r>
        <w:rPr>
          <w:rFonts w:ascii="Arial" w:cs="Arial" w:eastAsia="Arial" w:hAnsi="Arial"/>
          <w:sz w:val="18"/>
          <w:szCs w:val="18"/>
          <w:color w:val="auto"/>
        </w:rPr>
        <w:t>Name: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2607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Attorney-in-Fact</w:t>
      </w:r>
    </w:p>
    <w:p>
      <w:pPr>
        <w:spacing w:after="0" w:line="31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5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SIGNATURE OF AUTHORIZED U.S. REPRESENTATIVE OF REGISTRANT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April 9, 2018.</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DeVries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Colleen A. DeVries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SVP on behalf of Cogency Global Inc.</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6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Document</w:t>
            </w:r>
          </w:p>
        </w:tc>
        <w:tc>
          <w:tcPr>
            <w:tcW w:w="204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12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Numbered Page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5800" w:type="dxa"/>
            <w:vAlign w:val="bottom"/>
            <w:gridSpan w:val="4"/>
          </w:tcPr>
          <w:p>
            <w:pPr>
              <w:ind w:left="2960"/>
              <w:spacing w:after="0"/>
              <w:rPr>
                <w:sz w:val="20"/>
                <w:szCs w:val="20"/>
                <w:color w:val="auto"/>
              </w:rPr>
            </w:pPr>
            <w:r>
              <w:rPr>
                <w:rFonts w:ascii="Arial" w:cs="Arial" w:eastAsia="Arial" w:hAnsi="Arial"/>
                <w:sz w:val="18"/>
                <w:szCs w:val="18"/>
                <w:color w:val="auto"/>
              </w:rPr>
              <w:t>Form of Deposit Agreement</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324" w:right="1440"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300355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[DATE],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54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w:t>
            </w:r>
          </w:p>
        </w:tc>
        <w:tc>
          <w:tcPr>
            <w:tcW w:w="8540" w:type="dxa"/>
            <w:vAlign w:val="bottom"/>
          </w:tcPr>
          <w:p>
            <w:pPr>
              <w:ind w:left="320"/>
              <w:spacing w:after="0"/>
              <w:rPr>
                <w:sz w:val="20"/>
                <w:szCs w:val="20"/>
                <w:color w:val="auto"/>
              </w:rPr>
            </w:pPr>
            <w:r>
              <w:rPr>
                <w:rFonts w:ascii="Arial" w:cs="Arial" w:eastAsia="Arial" w:hAnsi="Arial"/>
                <w:sz w:val="18"/>
                <w:szCs w:val="18"/>
                <w:color w:val="auto"/>
              </w:rPr>
              <w:t>“ADS Record Date”</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“Affiliate”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w:t>
            </w:r>
          </w:p>
        </w:tc>
        <w:tc>
          <w:tcPr>
            <w:tcW w:w="8540" w:type="dxa"/>
            <w:vAlign w:val="bottom"/>
          </w:tcPr>
          <w:p>
            <w:pPr>
              <w:ind w:left="320"/>
              <w:spacing w:after="0"/>
              <w:rPr>
                <w:sz w:val="20"/>
                <w:szCs w:val="20"/>
                <w:color w:val="auto"/>
              </w:rPr>
            </w:pPr>
            <w:r>
              <w:rPr>
                <w:rFonts w:ascii="Arial" w:cs="Arial" w:eastAsia="Arial" w:hAnsi="Arial"/>
                <w:sz w:val="18"/>
                <w:szCs w:val="18"/>
                <w:color w:val="auto"/>
              </w:rPr>
              <w:t>“American Depositary Receipt(s)”, “ADR(s)” and “Receipt(s)”</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“American Depositary Share(s)” and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1.5</w:t>
            </w:r>
          </w:p>
        </w:tc>
        <w:tc>
          <w:tcPr>
            <w:tcW w:w="8540" w:type="dxa"/>
            <w:vAlign w:val="bottom"/>
          </w:tcPr>
          <w:p>
            <w:pPr>
              <w:ind w:left="320"/>
              <w:spacing w:after="0"/>
              <w:rPr>
                <w:sz w:val="20"/>
                <w:szCs w:val="20"/>
                <w:color w:val="auto"/>
              </w:rPr>
            </w:pPr>
            <w:r>
              <w:rPr>
                <w:rFonts w:ascii="Arial" w:cs="Arial" w:eastAsia="Arial" w:hAnsi="Arial"/>
                <w:sz w:val="18"/>
                <w:szCs w:val="18"/>
                <w:color w:val="auto"/>
              </w:rPr>
              <w:t>“Applicant”</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“Articles of Association”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1.7</w:t>
            </w:r>
          </w:p>
        </w:tc>
        <w:tc>
          <w:tcPr>
            <w:tcW w:w="8540" w:type="dxa"/>
            <w:vAlign w:val="bottom"/>
          </w:tcPr>
          <w:p>
            <w:pPr>
              <w:ind w:left="320"/>
              <w:spacing w:after="0"/>
              <w:rPr>
                <w:sz w:val="20"/>
                <w:szCs w:val="20"/>
                <w:color w:val="auto"/>
              </w:rPr>
            </w:pPr>
            <w:r>
              <w:rPr>
                <w:rFonts w:ascii="Arial" w:cs="Arial" w:eastAsia="Arial" w:hAnsi="Arial"/>
                <w:sz w:val="18"/>
                <w:szCs w:val="18"/>
                <w:color w:val="auto"/>
              </w:rPr>
              <w:t>“Beneficial Owner”</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1.8</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1.9</w:t>
            </w:r>
          </w:p>
        </w:tc>
        <w:tc>
          <w:tcPr>
            <w:tcW w:w="8540" w:type="dxa"/>
            <w:vAlign w:val="bottom"/>
          </w:tcPr>
          <w:p>
            <w:pPr>
              <w:ind w:left="320"/>
              <w:spacing w:after="0"/>
              <w:rPr>
                <w:sz w:val="20"/>
                <w:szCs w:val="20"/>
                <w:color w:val="auto"/>
              </w:rPr>
            </w:pPr>
            <w:r>
              <w:rPr>
                <w:rFonts w:ascii="Arial" w:cs="Arial" w:eastAsia="Arial" w:hAnsi="Arial"/>
                <w:sz w:val="18"/>
                <w:szCs w:val="18"/>
                <w:color w:val="auto"/>
              </w:rPr>
              <w:t>“Citibank”</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1.10</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“Commission”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1.11</w:t>
            </w:r>
          </w:p>
        </w:tc>
        <w:tc>
          <w:tcPr>
            <w:tcW w:w="8540" w:type="dxa"/>
            <w:vAlign w:val="bottom"/>
          </w:tcPr>
          <w:p>
            <w:pPr>
              <w:ind w:left="320"/>
              <w:spacing w:after="0"/>
              <w:rPr>
                <w:sz w:val="20"/>
                <w:szCs w:val="20"/>
                <w:color w:val="auto"/>
              </w:rPr>
            </w:pPr>
            <w:r>
              <w:rPr>
                <w:rFonts w:ascii="Arial" w:cs="Arial" w:eastAsia="Arial" w:hAnsi="Arial"/>
                <w:sz w:val="18"/>
                <w:szCs w:val="18"/>
                <w:color w:val="auto"/>
              </w:rPr>
              <w:t>“Company”</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1.13</w:t>
            </w:r>
          </w:p>
        </w:tc>
        <w:tc>
          <w:tcPr>
            <w:tcW w:w="8540" w:type="dxa"/>
            <w:vAlign w:val="bottom"/>
          </w:tcPr>
          <w:p>
            <w:pPr>
              <w:ind w:left="320"/>
              <w:spacing w:after="0"/>
              <w:rPr>
                <w:sz w:val="20"/>
                <w:szCs w:val="20"/>
                <w:color w:val="auto"/>
              </w:rPr>
            </w:pPr>
            <w:r>
              <w:rPr>
                <w:rFonts w:ascii="Arial" w:cs="Arial" w:eastAsia="Arial" w:hAnsi="Arial"/>
                <w:sz w:val="18"/>
                <w:szCs w:val="18"/>
                <w:color w:val="auto"/>
              </w:rPr>
              <w:t>“Custodian”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“Deliver” and “Delivery”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1.15</w:t>
            </w:r>
          </w:p>
        </w:tc>
        <w:tc>
          <w:tcPr>
            <w:tcW w:w="8540" w:type="dxa"/>
            <w:vAlign w:val="bottom"/>
          </w:tcPr>
          <w:p>
            <w:pPr>
              <w:ind w:left="320"/>
              <w:spacing w:after="0"/>
              <w:rPr>
                <w:sz w:val="20"/>
                <w:szCs w:val="20"/>
                <w:color w:val="auto"/>
              </w:rPr>
            </w:pPr>
            <w:r>
              <w:rPr>
                <w:rFonts w:ascii="Arial" w:cs="Arial" w:eastAsia="Arial" w:hAnsi="Arial"/>
                <w:sz w:val="18"/>
                <w:szCs w:val="18"/>
                <w:color w:val="auto"/>
              </w:rPr>
              <w:t>“Deposit Agreement”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“Depositary”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1.17</w:t>
            </w:r>
          </w:p>
        </w:tc>
        <w:tc>
          <w:tcPr>
            <w:tcW w:w="8540" w:type="dxa"/>
            <w:vAlign w:val="bottom"/>
          </w:tcPr>
          <w:p>
            <w:pPr>
              <w:ind w:left="320"/>
              <w:spacing w:after="0"/>
              <w:rPr>
                <w:sz w:val="20"/>
                <w:szCs w:val="20"/>
                <w:color w:val="auto"/>
              </w:rPr>
            </w:pPr>
            <w:r>
              <w:rPr>
                <w:rFonts w:ascii="Arial" w:cs="Arial" w:eastAsia="Arial" w:hAnsi="Arial"/>
                <w:sz w:val="18"/>
                <w:szCs w:val="18"/>
                <w:color w:val="auto"/>
              </w:rPr>
              <w:t>“Deposited Property”</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1.18</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“Deposited Securities”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1.19</w:t>
            </w:r>
          </w:p>
        </w:tc>
        <w:tc>
          <w:tcPr>
            <w:tcW w:w="8540" w:type="dxa"/>
            <w:vAlign w:val="bottom"/>
          </w:tcPr>
          <w:p>
            <w:pPr>
              <w:ind w:left="320"/>
              <w:spacing w:after="0"/>
              <w:rPr>
                <w:sz w:val="20"/>
                <w:szCs w:val="20"/>
                <w:color w:val="auto"/>
              </w:rPr>
            </w:pPr>
            <w:r>
              <w:rPr>
                <w:rFonts w:ascii="Arial" w:cs="Arial" w:eastAsia="Arial" w:hAnsi="Arial"/>
                <w:sz w:val="18"/>
                <w:szCs w:val="18"/>
                <w:color w:val="auto"/>
              </w:rPr>
              <w:t>“Dollars” and “$”</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1.20</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“DTC”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1.21</w:t>
            </w:r>
          </w:p>
        </w:tc>
        <w:tc>
          <w:tcPr>
            <w:tcW w:w="8540" w:type="dxa"/>
            <w:vAlign w:val="bottom"/>
          </w:tcPr>
          <w:p>
            <w:pPr>
              <w:ind w:left="320"/>
              <w:spacing w:after="0"/>
              <w:rPr>
                <w:sz w:val="20"/>
                <w:szCs w:val="20"/>
                <w:color w:val="auto"/>
              </w:rPr>
            </w:pPr>
            <w:r>
              <w:rPr>
                <w:rFonts w:ascii="Arial" w:cs="Arial" w:eastAsia="Arial" w:hAnsi="Arial"/>
                <w:sz w:val="18"/>
                <w:szCs w:val="18"/>
                <w:color w:val="auto"/>
              </w:rPr>
              <w:t>“DTC Participant”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“Exchange Act”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1.23</w:t>
            </w:r>
          </w:p>
        </w:tc>
        <w:tc>
          <w:tcPr>
            <w:tcW w:w="8540" w:type="dxa"/>
            <w:vAlign w:val="bottom"/>
          </w:tcPr>
          <w:p>
            <w:pPr>
              <w:ind w:left="320"/>
              <w:spacing w:after="0"/>
              <w:rPr>
                <w:sz w:val="20"/>
                <w:szCs w:val="20"/>
                <w:color w:val="auto"/>
              </w:rPr>
            </w:pPr>
            <w:r>
              <w:rPr>
                <w:rFonts w:ascii="Arial" w:cs="Arial" w:eastAsia="Arial" w:hAnsi="Arial"/>
                <w:sz w:val="18"/>
                <w:szCs w:val="18"/>
                <w:color w:val="auto"/>
              </w:rPr>
              <w:t>“Foreign Currency”</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1.25</w:t>
            </w:r>
          </w:p>
        </w:tc>
        <w:tc>
          <w:tcPr>
            <w:tcW w:w="8540" w:type="dxa"/>
            <w:vAlign w:val="bottom"/>
          </w:tcPr>
          <w:p>
            <w:pPr>
              <w:ind w:left="320"/>
              <w:spacing w:after="0"/>
              <w:rPr>
                <w:sz w:val="20"/>
                <w:szCs w:val="20"/>
                <w:color w:val="auto"/>
              </w:rPr>
            </w:pPr>
            <w:r>
              <w:rPr>
                <w:rFonts w:ascii="Arial" w:cs="Arial" w:eastAsia="Arial" w:hAnsi="Arial"/>
                <w:sz w:val="18"/>
                <w:szCs w:val="18"/>
                <w:color w:val="auto"/>
              </w:rPr>
              <w:t>“Holder(s)”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1.27</w:t>
            </w:r>
          </w:p>
        </w:tc>
        <w:tc>
          <w:tcPr>
            <w:tcW w:w="8540" w:type="dxa"/>
            <w:vAlign w:val="bottom"/>
          </w:tcPr>
          <w:p>
            <w:pPr>
              <w:ind w:left="320"/>
              <w:spacing w:after="0"/>
              <w:rPr>
                <w:sz w:val="20"/>
                <w:szCs w:val="20"/>
                <w:color w:val="auto"/>
              </w:rPr>
            </w:pPr>
            <w:r>
              <w:rPr>
                <w:rFonts w:ascii="Arial" w:cs="Arial" w:eastAsia="Arial" w:hAnsi="Arial"/>
                <w:sz w:val="18"/>
                <w:szCs w:val="18"/>
                <w:color w:val="auto"/>
              </w:rPr>
              <w:t>“Pounds”, “Pence” and “£”</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1.28</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“Pre-Release Transaction”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1.29</w:t>
            </w:r>
          </w:p>
        </w:tc>
        <w:tc>
          <w:tcPr>
            <w:tcW w:w="8540" w:type="dxa"/>
            <w:vAlign w:val="bottom"/>
          </w:tcPr>
          <w:p>
            <w:pPr>
              <w:ind w:left="320"/>
              <w:spacing w:after="0"/>
              <w:rPr>
                <w:sz w:val="20"/>
                <w:szCs w:val="20"/>
                <w:color w:val="auto"/>
              </w:rPr>
            </w:pPr>
            <w:r>
              <w:rPr>
                <w:rFonts w:ascii="Arial" w:cs="Arial" w:eastAsia="Arial" w:hAnsi="Arial"/>
                <w:sz w:val="18"/>
                <w:szCs w:val="18"/>
                <w:color w:val="auto"/>
              </w:rPr>
              <w:t>“Principal Office”</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1.30</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1.31</w:t>
            </w:r>
          </w:p>
        </w:tc>
        <w:tc>
          <w:tcPr>
            <w:tcW w:w="8540" w:type="dxa"/>
            <w:vAlign w:val="bottom"/>
          </w:tcPr>
          <w:p>
            <w:pPr>
              <w:ind w:left="320"/>
              <w:spacing w:after="0"/>
              <w:rPr>
                <w:sz w:val="20"/>
                <w:szCs w:val="20"/>
                <w:color w:val="auto"/>
              </w:rPr>
            </w:pPr>
            <w:r>
              <w:rPr>
                <w:rFonts w:ascii="Arial" w:cs="Arial" w:eastAsia="Arial" w:hAnsi="Arial"/>
                <w:sz w:val="18"/>
                <w:szCs w:val="18"/>
                <w:color w:val="auto"/>
              </w:rPr>
              <w:t>“Restricted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ADR(s)”, “Restricted ADS(s)” and “Restricted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1.33</w:t>
            </w:r>
          </w:p>
        </w:tc>
        <w:tc>
          <w:tcPr>
            <w:tcW w:w="8540" w:type="dxa"/>
            <w:vAlign w:val="bottom"/>
          </w:tcPr>
          <w:p>
            <w:pPr>
              <w:ind w:left="320"/>
              <w:spacing w:after="0"/>
              <w:rPr>
                <w:sz w:val="20"/>
                <w:szCs w:val="20"/>
                <w:color w:val="auto"/>
              </w:rPr>
            </w:pPr>
            <w:r>
              <w:rPr>
                <w:rFonts w:ascii="Arial" w:cs="Arial" w:eastAsia="Arial" w:hAnsi="Arial"/>
                <w:sz w:val="18"/>
                <w:szCs w:val="18"/>
                <w:color w:val="auto"/>
              </w:rPr>
              <w:t>“Securities Act”</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Registrar”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1.35</w:t>
            </w:r>
          </w:p>
        </w:tc>
        <w:tc>
          <w:tcPr>
            <w:tcW w:w="8540" w:type="dxa"/>
            <w:vAlign w:val="bottom"/>
          </w:tcPr>
          <w:p>
            <w:pPr>
              <w:ind w:left="320"/>
              <w:spacing w:after="0"/>
              <w:rPr>
                <w:sz w:val="20"/>
                <w:szCs w:val="20"/>
                <w:color w:val="auto"/>
              </w:rPr>
            </w:pPr>
            <w:r>
              <w:rPr>
                <w:rFonts w:ascii="Arial" w:cs="Arial" w:eastAsia="Arial" w:hAnsi="Arial"/>
                <w:sz w:val="18"/>
                <w:szCs w:val="18"/>
                <w:color w:val="auto"/>
              </w:rPr>
              <w:t>“Shares”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“Uncertificated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1.37</w:t>
            </w:r>
          </w:p>
        </w:tc>
        <w:tc>
          <w:tcPr>
            <w:tcW w:w="8540" w:type="dxa"/>
            <w:vAlign w:val="bottom"/>
          </w:tcPr>
          <w:p>
            <w:pPr>
              <w:ind w:left="320"/>
              <w:spacing w:after="0"/>
              <w:rPr>
                <w:sz w:val="20"/>
                <w:szCs w:val="20"/>
                <w:color w:val="auto"/>
              </w:rPr>
            </w:pPr>
            <w:r>
              <w:rPr>
                <w:rFonts w:ascii="Arial" w:cs="Arial" w:eastAsia="Arial" w:hAnsi="Arial"/>
                <w:sz w:val="18"/>
                <w:szCs w:val="18"/>
                <w:color w:val="auto"/>
              </w:rPr>
              <w:t>“United States” and “U.S.”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20" w:type="dxa"/>
            <w:vAlign w:val="bottom"/>
            <w:gridSpan w:val="2"/>
          </w:tcPr>
          <w:p>
            <w:pPr>
              <w:spacing w:after="0" w:line="201" w:lineRule="exact"/>
              <w:rPr>
                <w:sz w:val="20"/>
                <w:szCs w:val="20"/>
                <w:color w:val="auto"/>
              </w:rPr>
            </w:pPr>
            <w:r>
              <w:rPr>
                <w:rFonts w:ascii="Arial" w:cs="Arial" w:eastAsia="Arial" w:hAnsi="Arial"/>
                <w:sz w:val="18"/>
                <w:szCs w:val="18"/>
                <w:color w:val="auto"/>
              </w:rPr>
              <w:t>ARTICLE II APPOINTMENT OF DEPOSITARY; FORM OF RECEIPTS;</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DEPOSIT OF SHARES; EXECUTION AND</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DELIVERY, TRANSFER AND SURRENDER OF RECEIPTS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of Depositary.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2.2</w:t>
            </w:r>
          </w:p>
        </w:tc>
        <w:tc>
          <w:tcPr>
            <w:tcW w:w="8740" w:type="dxa"/>
            <w:vAlign w:val="bottom"/>
          </w:tcPr>
          <w:p>
            <w:pPr>
              <w:ind w:left="320"/>
              <w:spacing w:after="0"/>
              <w:rPr>
                <w:sz w:val="20"/>
                <w:szCs w:val="20"/>
                <w:color w:val="auto"/>
              </w:rPr>
            </w:pPr>
            <w:r>
              <w:rPr>
                <w:rFonts w:ascii="Arial" w:cs="Arial" w:eastAsia="Arial" w:hAnsi="Arial"/>
                <w:sz w:val="18"/>
                <w:szCs w:val="18"/>
                <w:color w:val="auto"/>
              </w:rPr>
              <w:t>Form and Transferability of ADSs.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 of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2.4</w:t>
            </w:r>
          </w:p>
        </w:tc>
        <w:tc>
          <w:tcPr>
            <w:tcW w:w="8740" w:type="dxa"/>
            <w:vAlign w:val="bottom"/>
          </w:tcPr>
          <w:p>
            <w:pPr>
              <w:ind w:left="320"/>
              <w:spacing w:after="0"/>
              <w:rPr>
                <w:sz w:val="20"/>
                <w:szCs w:val="20"/>
                <w:color w:val="auto"/>
              </w:rPr>
            </w:pPr>
            <w:r>
              <w:rPr>
                <w:rFonts w:ascii="Arial" w:cs="Arial" w:eastAsia="Arial" w:hAnsi="Arial"/>
                <w:sz w:val="18"/>
                <w:szCs w:val="18"/>
                <w:color w:val="auto"/>
              </w:rPr>
              <w:t>Registration and Safekeeping of Deposited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ADSs.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2.6</w:t>
            </w:r>
          </w:p>
        </w:tc>
        <w:tc>
          <w:tcPr>
            <w:tcW w:w="8740" w:type="dxa"/>
            <w:vAlign w:val="bottom"/>
          </w:tcPr>
          <w:p>
            <w:pPr>
              <w:ind w:left="320"/>
              <w:spacing w:after="0"/>
              <w:rPr>
                <w:sz w:val="20"/>
                <w:szCs w:val="20"/>
                <w:color w:val="auto"/>
              </w:rPr>
            </w:pPr>
            <w:r>
              <w:rPr>
                <w:rFonts w:ascii="Arial" w:cs="Arial" w:eastAsia="Arial" w:hAnsi="Arial"/>
                <w:sz w:val="18"/>
                <w:szCs w:val="18"/>
                <w:color w:val="auto"/>
              </w:rPr>
              <w:t>Transfer, Combination and Split-up of ADRs.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2.7</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ADSs and Withdrawal of Deposited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2.8</w:t>
            </w:r>
          </w:p>
        </w:tc>
        <w:tc>
          <w:tcPr>
            <w:tcW w:w="8740" w:type="dxa"/>
            <w:vAlign w:val="bottom"/>
          </w:tcPr>
          <w:p>
            <w:pPr>
              <w:ind w:left="32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2.9</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Lost ADRs, etc.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2.10</w:t>
            </w:r>
          </w:p>
        </w:tc>
        <w:tc>
          <w:tcPr>
            <w:tcW w:w="8740" w:type="dxa"/>
            <w:vAlign w:val="bottom"/>
          </w:tcPr>
          <w:p>
            <w:pPr>
              <w:ind w:left="32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Escheatment.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2.12</w:t>
            </w:r>
          </w:p>
        </w:tc>
        <w:tc>
          <w:tcPr>
            <w:tcW w:w="8740" w:type="dxa"/>
            <w:vAlign w:val="bottom"/>
          </w:tcPr>
          <w:p>
            <w:pPr>
              <w:ind w:left="320"/>
              <w:spacing w:after="0"/>
              <w:rPr>
                <w:sz w:val="20"/>
                <w:szCs w:val="20"/>
                <w:color w:val="auto"/>
              </w:rPr>
            </w:pPr>
            <w:r>
              <w:rPr>
                <w:rFonts w:ascii="Arial" w:cs="Arial" w:eastAsia="Arial" w:hAnsi="Arial"/>
                <w:sz w:val="18"/>
                <w:szCs w:val="18"/>
                <w:color w:val="auto"/>
              </w:rPr>
              <w:t>Partial Entitlement ADSs.</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Certificated/Uncertificated ADSs.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2.14</w:t>
            </w:r>
          </w:p>
        </w:tc>
        <w:tc>
          <w:tcPr>
            <w:tcW w:w="8740" w:type="dxa"/>
            <w:vAlign w:val="bottom"/>
          </w:tcPr>
          <w:p>
            <w:pPr>
              <w:ind w:left="320"/>
              <w:spacing w:after="0"/>
              <w:rPr>
                <w:sz w:val="20"/>
                <w:szCs w:val="20"/>
                <w:color w:val="auto"/>
              </w:rPr>
            </w:pPr>
            <w:r>
              <w:rPr>
                <w:rFonts w:ascii="Arial" w:cs="Arial" w:eastAsia="Arial" w:hAnsi="Arial"/>
                <w:sz w:val="18"/>
                <w:szCs w:val="18"/>
                <w:color w:val="auto"/>
              </w:rPr>
              <w:t>Restricted ADSs.</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120" w:type="dxa"/>
            <w:vAlign w:val="bottom"/>
            <w:gridSpan w:val="2"/>
          </w:tcPr>
          <w:p>
            <w:pPr>
              <w:spacing w:after="0" w:line="201" w:lineRule="exact"/>
              <w:rPr>
                <w:sz w:val="20"/>
                <w:szCs w:val="20"/>
                <w:color w:val="auto"/>
              </w:rPr>
            </w:pPr>
            <w:r>
              <w:rPr>
                <w:rFonts w:ascii="Arial" w:cs="Arial" w:eastAsia="Arial" w:hAnsi="Arial"/>
                <w:sz w:val="18"/>
                <w:szCs w:val="18"/>
                <w:color w:val="auto"/>
              </w:rPr>
              <w:t>ARTICLE III CERTAIN OBLIGATIONS OF HOLDERS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AND BENEFICIAL OWNERS OF ADSs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Proofs, Certificates and Other Information.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3.2</w:t>
            </w:r>
          </w:p>
        </w:tc>
        <w:tc>
          <w:tcPr>
            <w:tcW w:w="8740" w:type="dxa"/>
            <w:vAlign w:val="bottom"/>
          </w:tcPr>
          <w:p>
            <w:pPr>
              <w:ind w:left="320"/>
              <w:spacing w:after="0"/>
              <w:rPr>
                <w:sz w:val="20"/>
                <w:szCs w:val="20"/>
                <w:color w:val="auto"/>
              </w:rPr>
            </w:pPr>
            <w:r>
              <w:rPr>
                <w:rFonts w:ascii="Arial" w:cs="Arial" w:eastAsia="Arial" w:hAnsi="Arial"/>
                <w:sz w:val="18"/>
                <w:szCs w:val="18"/>
                <w:color w:val="auto"/>
              </w:rPr>
              <w:t>Liability for Taxes and Other Charges.</w:t>
            </w: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Representations and Warranties on Deposit of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3.4</w:t>
            </w:r>
          </w:p>
        </w:tc>
        <w:tc>
          <w:tcPr>
            <w:tcW w:w="8740" w:type="dxa"/>
            <w:vAlign w:val="bottom"/>
          </w:tcPr>
          <w:p>
            <w:pPr>
              <w:ind w:left="320"/>
              <w:spacing w:after="0"/>
              <w:rPr>
                <w:sz w:val="20"/>
                <w:szCs w:val="20"/>
                <w:color w:val="auto"/>
              </w:rPr>
            </w:pPr>
            <w:r>
              <w:rPr>
                <w:rFonts w:ascii="Arial" w:cs="Arial" w:eastAsia="Arial" w:hAnsi="Arial"/>
                <w:sz w:val="18"/>
                <w:szCs w:val="18"/>
                <w:color w:val="auto"/>
              </w:rPr>
              <w:t>Compliance with Information Requests.</w:t>
            </w: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Ownership Restrictions.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3.6</w:t>
            </w:r>
          </w:p>
        </w:tc>
        <w:tc>
          <w:tcPr>
            <w:tcW w:w="8740" w:type="dxa"/>
            <w:vAlign w:val="bottom"/>
          </w:tcPr>
          <w:p>
            <w:pPr>
              <w:ind w:left="320"/>
              <w:spacing w:after="0"/>
              <w:rPr>
                <w:sz w:val="20"/>
                <w:szCs w:val="20"/>
                <w:color w:val="auto"/>
              </w:rPr>
            </w:pPr>
            <w:r>
              <w:rPr>
                <w:rFonts w:ascii="Arial" w:cs="Arial" w:eastAsia="Arial" w:hAnsi="Arial"/>
                <w:sz w:val="18"/>
                <w:szCs w:val="18"/>
                <w:color w:val="auto"/>
              </w:rPr>
              <w:t>Reporting Obligations and Regulatory Approvals.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ARTICLE IV THE DEPOSITED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Distributions.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4.2</w:t>
            </w:r>
          </w:p>
        </w:tc>
        <w:tc>
          <w:tcPr>
            <w:tcW w:w="8740" w:type="dxa"/>
            <w:vAlign w:val="bottom"/>
          </w:tcPr>
          <w:p>
            <w:pPr>
              <w:ind w:left="320"/>
              <w:spacing w:after="0"/>
              <w:rPr>
                <w:sz w:val="20"/>
                <w:szCs w:val="20"/>
                <w:color w:val="auto"/>
              </w:rPr>
            </w:pPr>
            <w:r>
              <w:rPr>
                <w:rFonts w:ascii="Arial" w:cs="Arial" w:eastAsia="Arial" w:hAnsi="Arial"/>
                <w:sz w:val="18"/>
                <w:szCs w:val="18"/>
                <w:color w:val="auto"/>
              </w:rPr>
              <w:t>Distribution in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Elective Distributions in Cash or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4.4</w:t>
            </w:r>
          </w:p>
        </w:tc>
        <w:tc>
          <w:tcPr>
            <w:tcW w:w="8740" w:type="dxa"/>
            <w:vAlign w:val="bottom"/>
          </w:tcPr>
          <w:p>
            <w:pPr>
              <w:ind w:left="320"/>
              <w:spacing w:after="0"/>
              <w:rPr>
                <w:sz w:val="20"/>
                <w:szCs w:val="20"/>
                <w:color w:val="auto"/>
              </w:rPr>
            </w:pPr>
            <w:r>
              <w:rPr>
                <w:rFonts w:ascii="Arial" w:cs="Arial" w:eastAsia="Arial" w:hAnsi="Arial"/>
                <w:sz w:val="18"/>
                <w:szCs w:val="18"/>
                <w:color w:val="auto"/>
              </w:rPr>
              <w:t>Distribution of Rights to Purchase Additional ADSs.</w:t>
            </w: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4.6</w:t>
            </w:r>
          </w:p>
        </w:tc>
        <w:tc>
          <w:tcPr>
            <w:tcW w:w="8740" w:type="dxa"/>
            <w:vAlign w:val="bottom"/>
          </w:tcPr>
          <w:p>
            <w:pPr>
              <w:ind w:left="32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4.7</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Redemption.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4.8</w:t>
            </w:r>
          </w:p>
        </w:tc>
        <w:tc>
          <w:tcPr>
            <w:tcW w:w="8740" w:type="dxa"/>
            <w:vAlign w:val="bottom"/>
          </w:tcPr>
          <w:p>
            <w:pPr>
              <w:ind w:left="320"/>
              <w:spacing w:after="0"/>
              <w:rPr>
                <w:sz w:val="20"/>
                <w:szCs w:val="20"/>
                <w:color w:val="auto"/>
              </w:rPr>
            </w:pPr>
            <w:r>
              <w:rPr>
                <w:rFonts w:ascii="Arial" w:cs="Arial" w:eastAsia="Arial" w:hAnsi="Arial"/>
                <w:sz w:val="18"/>
                <w:szCs w:val="18"/>
                <w:color w:val="auto"/>
              </w:rPr>
              <w:t>Conversion of Foreign Currency.</w:t>
            </w: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4.9</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Fixing of ADS Record Date.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4.10</w:t>
            </w:r>
          </w:p>
        </w:tc>
        <w:tc>
          <w:tcPr>
            <w:tcW w:w="8740" w:type="dxa"/>
            <w:vAlign w:val="bottom"/>
          </w:tcPr>
          <w:p>
            <w:pPr>
              <w:ind w:left="320"/>
              <w:spacing w:after="0"/>
              <w:rPr>
                <w:sz w:val="20"/>
                <w:szCs w:val="20"/>
                <w:color w:val="auto"/>
              </w:rPr>
            </w:pPr>
            <w:r>
              <w:rPr>
                <w:rFonts w:ascii="Arial" w:cs="Arial" w:eastAsia="Arial" w:hAnsi="Arial"/>
                <w:sz w:val="18"/>
                <w:szCs w:val="18"/>
                <w:color w:val="auto"/>
              </w:rPr>
              <w:t>Voting of Deposited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Affecting Deposited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4.12</w:t>
            </w:r>
          </w:p>
        </w:tc>
        <w:tc>
          <w:tcPr>
            <w:tcW w:w="8740" w:type="dxa"/>
            <w:vAlign w:val="bottom"/>
          </w:tcPr>
          <w:p>
            <w:pPr>
              <w:ind w:left="320"/>
              <w:spacing w:after="0"/>
              <w:rPr>
                <w:sz w:val="20"/>
                <w:szCs w:val="20"/>
                <w:color w:val="auto"/>
              </w:rPr>
            </w:pPr>
            <w:r>
              <w:rPr>
                <w:rFonts w:ascii="Arial" w:cs="Arial" w:eastAsia="Arial" w:hAnsi="Arial"/>
                <w:sz w:val="18"/>
                <w:szCs w:val="18"/>
                <w:color w:val="auto"/>
              </w:rPr>
              <w:t>Available Information.</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4.14</w:t>
            </w:r>
          </w:p>
        </w:tc>
        <w:tc>
          <w:tcPr>
            <w:tcW w:w="8740" w:type="dxa"/>
            <w:vAlign w:val="bottom"/>
          </w:tcPr>
          <w:p>
            <w:pPr>
              <w:ind w:left="320"/>
              <w:spacing w:after="0"/>
              <w:rPr>
                <w:sz w:val="20"/>
                <w:szCs w:val="20"/>
                <w:color w:val="auto"/>
              </w:rPr>
            </w:pPr>
            <w:r>
              <w:rPr>
                <w:rFonts w:ascii="Arial" w:cs="Arial" w:eastAsia="Arial" w:hAnsi="Arial"/>
                <w:sz w:val="18"/>
                <w:szCs w:val="18"/>
                <w:color w:val="auto"/>
              </w:rPr>
              <w:t>List of Holders.</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5.1</w:t>
            </w:r>
          </w:p>
        </w:tc>
        <w:tc>
          <w:tcPr>
            <w:tcW w:w="8740" w:type="dxa"/>
            <w:vAlign w:val="bottom"/>
          </w:tcPr>
          <w:p>
            <w:pPr>
              <w:ind w:left="320"/>
              <w:spacing w:after="0"/>
              <w:rPr>
                <w:sz w:val="20"/>
                <w:szCs w:val="20"/>
                <w:color w:val="auto"/>
              </w:rPr>
            </w:pPr>
            <w:r>
              <w:rPr>
                <w:rFonts w:ascii="Arial" w:cs="Arial" w:eastAsia="Arial" w:hAnsi="Arial"/>
                <w:sz w:val="18"/>
                <w:szCs w:val="18"/>
                <w:color w:val="auto"/>
              </w:rPr>
              <w:t>Maintenance of Office and Transfer Books by the Registrar.</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5.2</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Exoneration.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5.3</w:t>
            </w:r>
          </w:p>
        </w:tc>
        <w:tc>
          <w:tcPr>
            <w:tcW w:w="8740" w:type="dxa"/>
            <w:vAlign w:val="bottom"/>
          </w:tcPr>
          <w:p>
            <w:pPr>
              <w:ind w:left="320"/>
              <w:spacing w:after="0"/>
              <w:rPr>
                <w:sz w:val="20"/>
                <w:szCs w:val="20"/>
                <w:color w:val="auto"/>
              </w:rPr>
            </w:pPr>
            <w:r>
              <w:rPr>
                <w:rFonts w:ascii="Arial" w:cs="Arial" w:eastAsia="Arial" w:hAnsi="Arial"/>
                <w:sz w:val="18"/>
                <w:szCs w:val="18"/>
                <w:color w:val="auto"/>
              </w:rPr>
              <w:t>Standard of Care.</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5.4</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5.5</w:t>
            </w:r>
          </w:p>
        </w:tc>
        <w:tc>
          <w:tcPr>
            <w:tcW w:w="8040" w:type="dxa"/>
            <w:vAlign w:val="bottom"/>
          </w:tcPr>
          <w:p>
            <w:pPr>
              <w:ind w:left="320"/>
              <w:spacing w:after="0"/>
              <w:rPr>
                <w:sz w:val="20"/>
                <w:szCs w:val="20"/>
                <w:color w:val="auto"/>
              </w:rPr>
            </w:pPr>
            <w:r>
              <w:rPr>
                <w:rFonts w:ascii="Arial" w:cs="Arial" w:eastAsia="Arial" w:hAnsi="Arial"/>
                <w:sz w:val="18"/>
                <w:szCs w:val="18"/>
                <w:color w:val="auto"/>
              </w:rPr>
              <w:t>The Custodian.</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5.6</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 and Reports.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5.7</w:t>
            </w:r>
          </w:p>
        </w:tc>
        <w:tc>
          <w:tcPr>
            <w:tcW w:w="8040" w:type="dxa"/>
            <w:vAlign w:val="bottom"/>
          </w:tcPr>
          <w:p>
            <w:pPr>
              <w:ind w:left="320"/>
              <w:spacing w:after="0"/>
              <w:rPr>
                <w:sz w:val="20"/>
                <w:szCs w:val="20"/>
                <w:color w:val="auto"/>
              </w:rPr>
            </w:pPr>
            <w:r>
              <w:rPr>
                <w:rFonts w:ascii="Arial" w:cs="Arial" w:eastAsia="Arial" w:hAnsi="Arial"/>
                <w:sz w:val="18"/>
                <w:szCs w:val="18"/>
                <w:color w:val="auto"/>
              </w:rPr>
              <w:t>Issuance of Additional Shares, ADSs etc.</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5.8</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Indemnification.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5.9</w:t>
            </w:r>
          </w:p>
        </w:tc>
        <w:tc>
          <w:tcPr>
            <w:tcW w:w="8040" w:type="dxa"/>
            <w:vAlign w:val="bottom"/>
          </w:tcPr>
          <w:p>
            <w:pPr>
              <w:ind w:left="320"/>
              <w:spacing w:after="0"/>
              <w:rPr>
                <w:sz w:val="20"/>
                <w:szCs w:val="20"/>
                <w:color w:val="auto"/>
              </w:rPr>
            </w:pPr>
            <w:r>
              <w:rPr>
                <w:rFonts w:ascii="Arial" w:cs="Arial" w:eastAsia="Arial" w:hAnsi="Arial"/>
                <w:sz w:val="18"/>
                <w:szCs w:val="18"/>
                <w:color w:val="auto"/>
              </w:rPr>
              <w:t>ADS Fees and Charges.</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5.10</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Pre-Release Transactions.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5.11</w:t>
            </w:r>
          </w:p>
        </w:tc>
        <w:tc>
          <w:tcPr>
            <w:tcW w:w="8040" w:type="dxa"/>
            <w:vAlign w:val="bottom"/>
          </w:tcPr>
          <w:p>
            <w:pPr>
              <w:ind w:left="320"/>
              <w:spacing w:after="0"/>
              <w:rPr>
                <w:sz w:val="20"/>
                <w:szCs w:val="20"/>
                <w:color w:val="auto"/>
              </w:rPr>
            </w:pPr>
            <w:r>
              <w:rPr>
                <w:rFonts w:ascii="Arial" w:cs="Arial" w:eastAsia="Arial" w:hAnsi="Arial"/>
                <w:sz w:val="18"/>
                <w:szCs w:val="18"/>
                <w:color w:val="auto"/>
              </w:rPr>
              <w:t>Restricted Securities Owners.</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 AMENDMENT AND 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6.1</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Amendment/Supplement.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6.2</w:t>
            </w:r>
          </w:p>
        </w:tc>
        <w:tc>
          <w:tcPr>
            <w:tcW w:w="804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7.1</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7.2</w:t>
            </w:r>
          </w:p>
        </w:tc>
        <w:tc>
          <w:tcPr>
            <w:tcW w:w="8040" w:type="dxa"/>
            <w:vAlign w:val="bottom"/>
          </w:tcPr>
          <w:p>
            <w:pPr>
              <w:ind w:left="320"/>
              <w:spacing w:after="0"/>
              <w:rPr>
                <w:sz w:val="20"/>
                <w:szCs w:val="20"/>
                <w:color w:val="auto"/>
              </w:rPr>
            </w:pPr>
            <w:r>
              <w:rPr>
                <w:rFonts w:ascii="Arial" w:cs="Arial" w:eastAsia="Arial" w:hAnsi="Arial"/>
                <w:sz w:val="18"/>
                <w:szCs w:val="18"/>
                <w:color w:val="auto"/>
              </w:rPr>
              <w:t>No Third Party Beneficiaries.</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7.3</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Severability.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7.4</w:t>
            </w:r>
          </w:p>
        </w:tc>
        <w:tc>
          <w:tcPr>
            <w:tcW w:w="8040" w:type="dxa"/>
            <w:vAlign w:val="bottom"/>
          </w:tcPr>
          <w:p>
            <w:pPr>
              <w:ind w:left="320"/>
              <w:spacing w:after="0"/>
              <w:rPr>
                <w:sz w:val="20"/>
                <w:szCs w:val="20"/>
                <w:color w:val="auto"/>
              </w:rPr>
            </w:pPr>
            <w:r>
              <w:rPr>
                <w:rFonts w:ascii="Arial" w:cs="Arial" w:eastAsia="Arial" w:hAnsi="Arial"/>
                <w:sz w:val="18"/>
                <w:szCs w:val="18"/>
                <w:color w:val="auto"/>
              </w:rPr>
              <w:t>Holders and Beneficial Owners as Parties; Binding Effect.</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7.5</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7.6</w:t>
            </w:r>
          </w:p>
        </w:tc>
        <w:tc>
          <w:tcPr>
            <w:tcW w:w="8040" w:type="dxa"/>
            <w:vAlign w:val="bottom"/>
          </w:tcPr>
          <w:p>
            <w:pPr>
              <w:ind w:left="320"/>
              <w:spacing w:after="0"/>
              <w:rPr>
                <w:sz w:val="20"/>
                <w:szCs w:val="20"/>
                <w:color w:val="auto"/>
              </w:rPr>
            </w:pPr>
            <w:r>
              <w:rPr>
                <w:rFonts w:ascii="Arial" w:cs="Arial" w:eastAsia="Arial" w:hAnsi="Arial"/>
                <w:sz w:val="18"/>
                <w:szCs w:val="18"/>
                <w:color w:val="auto"/>
              </w:rPr>
              <w:t>Governing Law and Jurisdiction.</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7.7</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7.8</w:t>
            </w:r>
          </w:p>
        </w:tc>
        <w:tc>
          <w:tcPr>
            <w:tcW w:w="8040" w:type="dxa"/>
            <w:vAlign w:val="bottom"/>
          </w:tcPr>
          <w:p>
            <w:pPr>
              <w:ind w:left="320"/>
              <w:spacing w:after="0"/>
              <w:rPr>
                <w:sz w:val="20"/>
                <w:szCs w:val="20"/>
                <w:color w:val="auto"/>
              </w:rPr>
            </w:pPr>
            <w:r>
              <w:rPr>
                <w:rFonts w:ascii="Arial" w:cs="Arial" w:eastAsia="Arial" w:hAnsi="Arial"/>
                <w:sz w:val="18"/>
                <w:szCs w:val="18"/>
                <w:color w:val="auto"/>
              </w:rPr>
              <w:t>Compliance with U.S. Securities Laws.</w:t>
            </w: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7.9</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England and Wales Law References.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7.10</w:t>
            </w:r>
          </w:p>
        </w:tc>
        <w:tc>
          <w:tcPr>
            <w:tcW w:w="8040" w:type="dxa"/>
            <w:vAlign w:val="bottom"/>
          </w:tcPr>
          <w:p>
            <w:pPr>
              <w:ind w:left="320"/>
              <w:spacing w:after="0"/>
              <w:rPr>
                <w:sz w:val="20"/>
                <w:szCs w:val="20"/>
                <w:color w:val="auto"/>
              </w:rPr>
            </w:pPr>
            <w:r>
              <w:rPr>
                <w:rFonts w:ascii="Arial" w:cs="Arial" w:eastAsia="Arial" w:hAnsi="Arial"/>
                <w:sz w:val="18"/>
                <w:szCs w:val="18"/>
                <w:color w:val="auto"/>
              </w:rPr>
              <w:t>Titles and References.</w:t>
            </w: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EXHIBITS</w:t>
            </w:r>
          </w:p>
        </w:tc>
        <w:tc>
          <w:tcPr>
            <w:tcW w:w="8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ADR.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Fee Schedule.</w:t>
            </w:r>
          </w:p>
        </w:tc>
        <w:tc>
          <w:tcPr>
            <w:tcW w:w="1980" w:type="dxa"/>
            <w:vAlign w:val="bottom"/>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DEPOSIT AGREEMENT</w:t>
      </w:r>
      <w:r>
        <w:rPr>
          <w:rFonts w:ascii="Arial" w:cs="Arial" w:eastAsia="Arial" w:hAnsi="Arial"/>
          <w:sz w:val="16"/>
          <w:szCs w:val="16"/>
          <w:color w:val="auto"/>
        </w:rPr>
        <w:t>, dated as of [DATE], 2018, by and among (i) Mereo BioPharma Group plc, a public limited company incorporated under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laws of England and Wales and its successors (the “</w:t>
      </w:r>
      <w:r>
        <w:rPr>
          <w:rFonts w:ascii="Arial" w:cs="Arial" w:eastAsia="Arial" w:hAnsi="Arial"/>
          <w:sz w:val="17"/>
          <w:szCs w:val="17"/>
          <w:u w:val="single" w:color="auto"/>
          <w:color w:val="auto"/>
        </w:rPr>
        <w:t>Company</w:t>
      </w:r>
      <w:r>
        <w:rPr>
          <w:rFonts w:ascii="Arial" w:cs="Arial" w:eastAsia="Arial" w:hAnsi="Arial"/>
          <w:sz w:val="17"/>
          <w:szCs w:val="17"/>
          <w:color w:val="auto"/>
        </w:rPr>
        <w:t>”), (ii) CITIBANK, N.A., a national banking association organized under the laws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States of America (“</w:t>
      </w:r>
      <w:r>
        <w:rPr>
          <w:rFonts w:ascii="Arial" w:cs="Arial" w:eastAsia="Arial" w:hAnsi="Arial"/>
          <w:sz w:val="17"/>
          <w:szCs w:val="17"/>
          <w:u w:val="single" w:color="auto"/>
          <w:color w:val="auto"/>
        </w:rPr>
        <w:t>Citibank</w:t>
      </w:r>
      <w:r>
        <w:rPr>
          <w:rFonts w:ascii="Arial" w:cs="Arial" w:eastAsia="Arial" w:hAnsi="Arial"/>
          <w:sz w:val="17"/>
          <w:szCs w:val="17"/>
          <w:color w:val="auto"/>
        </w:rPr>
        <w:t>”) acting in its capacity as depositary, and any successor depositary hereunder (Citibank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Depositary</w:t>
      </w:r>
      <w:r>
        <w:rPr>
          <w:rFonts w:ascii="Arial" w:cs="Arial" w:eastAsia="Arial" w:hAnsi="Arial"/>
          <w:sz w:val="17"/>
          <w:szCs w:val="17"/>
          <w:color w:val="auto"/>
        </w:rPr>
        <w:t>”), and (iii) all Holders and Beneficial Owners of American Depositary Shares issued hereunder (all such capitalized terms as hereinafter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with the Depositary an ADR facility to provide for the deposit of the Shares (as hereinafter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6"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any American Depositary Receipts issued pursuant to the terms of the Deposit Agreement are to be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attached hereto, with appropriate insertions, modifications and omissions, as hereinafter provided in the Deposit Agreement.</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 xml:space="preserve">“ADS Record Date” </w:t>
      </w:r>
      <w:r>
        <w:rPr>
          <w:rFonts w:ascii="Arial" w:cs="Arial" w:eastAsia="Arial" w:hAnsi="Arial"/>
          <w:sz w:val="16"/>
          <w:szCs w:val="16"/>
          <w:color w:val="auto"/>
        </w:rPr>
        <w:t>shall have the meaning given to such term in Section 4.9.</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300" w:firstLine="648"/>
        <w:spacing w:after="0" w:line="281"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“American Depositary Receipt(s)”, “ADR(s)” and “Receipt(s)”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certificate(s) issued by the Depositary to</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right="220" w:firstLine="648"/>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“American Depositary Share(s)” and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right="20" w:firstLine="8"/>
        <w:spacing w:after="0" w:line="267"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u w:val="single" w:color="auto"/>
          <w:color w:val="auto"/>
        </w:rPr>
        <w:t xml:space="preserve">“Applicant” </w:t>
      </w:r>
      <w:r>
        <w:rPr>
          <w:rFonts w:ascii="Arial" w:cs="Arial" w:eastAsia="Arial" w:hAnsi="Arial"/>
          <w:sz w:val="16"/>
          <w:szCs w:val="16"/>
          <w:color w:val="auto"/>
        </w:rPr>
        <w:t>shall have the meaning given to such term in Section 5.10.</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u w:val="single" w:color="auto"/>
          <w:color w:val="auto"/>
        </w:rPr>
        <w:t xml:space="preserve">“Articles of Association” </w:t>
      </w:r>
      <w:r>
        <w:rPr>
          <w:rFonts w:ascii="Arial" w:cs="Arial" w:eastAsia="Arial" w:hAnsi="Arial"/>
          <w:sz w:val="16"/>
          <w:szCs w:val="16"/>
          <w:color w:val="auto"/>
        </w:rPr>
        <w:t>shall mean the Articles of Association of the Company, as amended and restated from time to time.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w:t>
      </w:r>
      <w:r>
        <w:rPr>
          <w:rFonts w:ascii="Arial" w:cs="Arial" w:eastAsia="Arial" w:hAnsi="Arial"/>
          <w:sz w:val="16"/>
          <w:szCs w:val="16"/>
          <w:i w:val="1"/>
          <w:iCs w:val="1"/>
          <w:color w:val="auto"/>
        </w:rPr>
        <w:t>e.g.</w:t>
      </w:r>
      <w:r>
        <w:rPr>
          <w:rFonts w:ascii="Arial" w:cs="Arial" w:eastAsia="Arial" w:hAnsi="Arial"/>
          <w:sz w:val="16"/>
          <w:szCs w:val="16"/>
          <w:color w:val="auto"/>
        </w:rPr>
        <w:t>, in a brokerage account vs. as registered holder) may affect the rights and obligations of, the manner in which, and the extent to which, services are made available to, Beneficial Owners pursuant to the terms of the Deposit Agreement.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u w:val="single" w:color="auto"/>
          <w:color w:val="auto"/>
        </w:rPr>
        <w:t xml:space="preserve">“Certificated ADS(s)”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Mereo BioPharma Group plc, a public limited company incorporated under the laws of England and Wales,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“CREST”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as of the date hereof, Citibank N.A., London Branch,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“Deliver” and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book-entry settlement of CREST,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1.17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 Notwithstanding the foregoing, the collateral delivered in connection with Pre-Release Transactions described in Section 5.10 shall not constitute Deposited Property.</w:t>
      </w:r>
    </w:p>
    <w:p>
      <w:pPr>
        <w:spacing w:after="0" w:line="17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1.19</w:t>
      </w:r>
      <w:r>
        <w:rPr>
          <w:sz w:val="20"/>
          <w:szCs w:val="20"/>
          <w:color w:val="auto"/>
        </w:rPr>
        <w:tab/>
      </w:r>
      <w:r>
        <w:rPr>
          <w:rFonts w:ascii="Arial" w:cs="Arial" w:eastAsia="Arial" w:hAnsi="Arial"/>
          <w:sz w:val="16"/>
          <w:szCs w:val="16"/>
          <w:b w:val="1"/>
          <w:bCs w:val="1"/>
          <w:u w:val="single" w:color="auto"/>
          <w:color w:val="auto"/>
        </w:rPr>
        <w:t xml:space="preserve">“Dollars” and “$” </w:t>
      </w:r>
      <w:r>
        <w:rPr>
          <w:rFonts w:ascii="Arial" w:cs="Arial" w:eastAsia="Arial" w:hAnsi="Arial"/>
          <w:sz w:val="16"/>
          <w:szCs w:val="16"/>
          <w:color w:val="auto"/>
        </w:rPr>
        <w:t>shall refer to the lawful currency of the United States.</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1.21 </w:t>
      </w:r>
      <w:r>
        <w:rPr>
          <w:rFonts w:ascii="Arial" w:cs="Arial" w:eastAsia="Arial" w:hAnsi="Arial"/>
          <w:sz w:val="16"/>
          <w:szCs w:val="16"/>
          <w:b w:val="1"/>
          <w:bCs w:val="1"/>
          <w:u w:val="single" w:color="auto"/>
          <w:color w:val="auto"/>
        </w:rPr>
        <w:t>“DTC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u w:val="single" w:color="auto"/>
          <w:color w:val="auto"/>
        </w:rPr>
        <w:t xml:space="preserve">“Exchange Act” </w:t>
      </w:r>
      <w:r>
        <w:rPr>
          <w:rFonts w:ascii="Arial" w:cs="Arial" w:eastAsia="Arial" w:hAnsi="Arial"/>
          <w:sz w:val="16"/>
          <w:szCs w:val="16"/>
          <w:color w:val="auto"/>
        </w:rPr>
        <w:t>shall mean the United States Securities Exchange Act of 1934, as amended from time to time.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2" w:name="page23"/>
    <w:bookmarkEnd w:id="22"/>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u w:val="single" w:color="auto"/>
          <w:color w:val="auto"/>
        </w:rPr>
        <w:t xml:space="preserve">“Foreign Currency” </w:t>
      </w:r>
      <w:r>
        <w:rPr>
          <w:rFonts w:ascii="Arial" w:cs="Arial" w:eastAsia="Arial" w:hAnsi="Arial"/>
          <w:sz w:val="16"/>
          <w:szCs w:val="16"/>
          <w:color w:val="auto"/>
        </w:rPr>
        <w:t>shall mean any currency other than Dollars.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“Full Entitlement ADR(s)”, “Full Entitlement ADS(s)” and “Full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1.25 </w:t>
      </w:r>
      <w:r>
        <w:rPr>
          <w:rFonts w:ascii="Arial" w:cs="Arial" w:eastAsia="Arial" w:hAnsi="Arial"/>
          <w:sz w:val="17"/>
          <w:szCs w:val="17"/>
          <w:b w:val="1"/>
          <w:bCs w:val="1"/>
          <w:u w:val="single" w:color="auto"/>
          <w:color w:val="auto"/>
        </w:rPr>
        <w:t>“Holder(s)”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person(s) in whose name the ADSs are registered on the books of the Depositary (or the Registrar, if</w:t>
      </w:r>
      <w:r>
        <w:rPr>
          <w:rFonts w:ascii="Arial" w:cs="Arial" w:eastAsia="Arial" w:hAnsi="Arial"/>
          <w:sz w:val="17"/>
          <w:szCs w:val="17"/>
          <w:b w:val="1"/>
          <w:bCs w:val="1"/>
          <w:color w:val="auto"/>
        </w:rPr>
        <w:t xml:space="preserve"> </w:t>
      </w:r>
      <w:r>
        <w:rPr>
          <w:rFonts w:ascii="Arial" w:cs="Arial" w:eastAsia="Arial" w:hAnsi="Arial"/>
          <w:sz w:val="17"/>
          <w:szCs w:val="17"/>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the services are made available to, Holders pursuant to the terms of the Deposit Agreement.</w:t>
      </w:r>
    </w:p>
    <w:p>
      <w:pPr>
        <w:spacing w:after="0" w:line="16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b w:val="1"/>
          <w:bCs w:val="1"/>
          <w:u w:val="single" w:color="auto"/>
          <w:color w:val="auto"/>
        </w:rPr>
        <w:t>“Partial Entitlement ADR(s)”, “Partial Entitlement ADS(s)” and “Partial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6"/>
          <w:szCs w:val="16"/>
          <w:b w:val="1"/>
          <w:bCs w:val="1"/>
          <w:u w:val="single" w:color="auto"/>
          <w:color w:val="auto"/>
        </w:rPr>
        <w:t xml:space="preserve">“Pounds”, “Pence” and “£” </w:t>
      </w:r>
      <w:r>
        <w:rPr>
          <w:rFonts w:ascii="Arial" w:cs="Arial" w:eastAsia="Arial" w:hAnsi="Arial"/>
          <w:sz w:val="16"/>
          <w:szCs w:val="16"/>
          <w:color w:val="auto"/>
        </w:rPr>
        <w:t>shall refer to the lawful currency of England.</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b w:val="1"/>
          <w:bCs w:val="1"/>
          <w:u w:val="single" w:color="auto"/>
          <w:color w:val="auto"/>
        </w:rPr>
        <w:t xml:space="preserve">“Pre-Release Transaction” </w:t>
      </w:r>
      <w:r>
        <w:rPr>
          <w:rFonts w:ascii="Arial" w:cs="Arial" w:eastAsia="Arial" w:hAnsi="Arial"/>
          <w:sz w:val="16"/>
          <w:szCs w:val="16"/>
          <w:color w:val="auto"/>
        </w:rPr>
        <w:t>shall have the meaning set forth in Section 5.10.</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1.30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color w:val="auto"/>
        </w:rPr>
        <w:t xml:space="preserve">Section 1.31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u w:val="single" w:color="auto"/>
          <w:color w:val="auto"/>
        </w:rPr>
        <w:t xml:space="preserve">“Restricted ADR(s)”, “Restricted ADS(s)” and “Restricted Shares” </w:t>
      </w:r>
      <w:r>
        <w:rPr>
          <w:rFonts w:ascii="Arial" w:cs="Arial" w:eastAsia="Arial" w:hAnsi="Arial"/>
          <w:sz w:val="16"/>
          <w:szCs w:val="16"/>
          <w:color w:val="auto"/>
        </w:rPr>
        <w:t>shall have the respective meanings set forth in Section 2.14.</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1.33</w:t>
      </w:r>
      <w:r>
        <w:rPr>
          <w:sz w:val="20"/>
          <w:szCs w:val="20"/>
          <w:color w:val="auto"/>
        </w:rPr>
        <w:tab/>
      </w:r>
      <w:r>
        <w:rPr>
          <w:rFonts w:ascii="Arial" w:cs="Arial" w:eastAsia="Arial" w:hAnsi="Arial"/>
          <w:sz w:val="16"/>
          <w:szCs w:val="16"/>
          <w:b w:val="1"/>
          <w:bCs w:val="1"/>
          <w:u w:val="single" w:color="auto"/>
          <w:color w:val="auto"/>
        </w:rPr>
        <w:t xml:space="preserve">“Securities Act” </w:t>
      </w:r>
      <w:r>
        <w:rPr>
          <w:rFonts w:ascii="Arial" w:cs="Arial" w:eastAsia="Arial" w:hAnsi="Arial"/>
          <w:sz w:val="16"/>
          <w:szCs w:val="16"/>
          <w:color w:val="auto"/>
        </w:rPr>
        <w:t>shall mean the United States Securities Act of 1933, as amended from time to time.</w:t>
      </w:r>
    </w:p>
    <w:p>
      <w:pPr>
        <w:spacing w:after="0" w:line="22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 xml:space="preserve">Section 1.34 </w:t>
      </w:r>
      <w:r>
        <w:rPr>
          <w:rFonts w:ascii="Arial" w:cs="Arial" w:eastAsia="Arial" w:hAnsi="Arial"/>
          <w:sz w:val="18"/>
          <w:szCs w:val="18"/>
          <w:b w:val="1"/>
          <w:bCs w:val="1"/>
          <w:u w:val="single" w:color="auto"/>
          <w:color w:val="auto"/>
        </w:rPr>
        <w:t>“Share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Link Asset Services (UK) Limited, a company registered in England and Wales under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03376447 and whose registered office is at 6th Floor, 65 Gresham Street, London, United Kingdom, EC2V 7NQ or any other institution organized under the laws of England and Wales appointed by the Company from time to time to carry out the duties of registrar for the Shares, and any successor thereto.</w:t>
      </w:r>
    </w:p>
    <w:p>
      <w:pPr>
        <w:spacing w:after="0" w:line="180"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Section 1.35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ordinary shares, nominal value £0.003 per share, validly issued and outstanding and fully paid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disapplied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1.36</w:t>
      </w:r>
      <w:r>
        <w:rPr>
          <w:sz w:val="20"/>
          <w:szCs w:val="20"/>
          <w:color w:val="auto"/>
        </w:rPr>
        <w:tab/>
      </w:r>
      <w:r>
        <w:rPr>
          <w:rFonts w:ascii="Arial" w:cs="Arial" w:eastAsia="Arial" w:hAnsi="Arial"/>
          <w:sz w:val="16"/>
          <w:szCs w:val="16"/>
          <w:b w:val="1"/>
          <w:bCs w:val="1"/>
          <w:u w:val="single" w:color="auto"/>
          <w:color w:val="auto"/>
        </w:rPr>
        <w:t xml:space="preserve">“Uncertificated ADS(s)”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1.37 </w:t>
      </w:r>
      <w:r>
        <w:rPr>
          <w:rFonts w:ascii="Arial" w:cs="Arial" w:eastAsia="Arial" w:hAnsi="Arial"/>
          <w:sz w:val="18"/>
          <w:szCs w:val="18"/>
          <w:b w:val="1"/>
          <w:bCs w:val="1"/>
          <w:u w:val="single" w:color="auto"/>
          <w:color w:val="auto"/>
        </w:rPr>
        <w:t>“United States” and “U.S.”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Appointment of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Depositary as depositary for the Deposited Property and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p>
    <w:p>
      <w:pPr>
        <w:spacing w:after="0" w:line="225" w:lineRule="exact"/>
        <w:rPr>
          <w:sz w:val="20"/>
          <w:szCs w:val="20"/>
          <w:color w:val="auto"/>
        </w:rPr>
      </w:pPr>
    </w:p>
    <w:p>
      <w:pPr>
        <w:ind w:right="20" w:firstLine="656"/>
        <w:spacing w:after="0" w:line="269" w:lineRule="auto"/>
        <w:tabs>
          <w:tab w:leader="none" w:pos="99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ind w:left="-8" w:right="300" w:firstLine="656"/>
        <w:spacing w:after="0" w:line="293" w:lineRule="auto"/>
        <w:tabs>
          <w:tab w:leader="none" w:pos="149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right="40" w:firstLine="8"/>
        <w:spacing w:after="0" w:line="270" w:lineRule="auto"/>
        <w:tabs>
          <w:tab w:leader="none" w:pos="257"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left="-8" w:firstLine="656"/>
        <w:spacing w:after="0" w:line="255" w:lineRule="auto"/>
        <w:tabs>
          <w:tab w:leader="none" w:pos="1515"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5" w:lineRule="exact"/>
        <w:rPr>
          <w:rFonts w:ascii="Arial" w:cs="Arial" w:eastAsia="Arial" w:hAnsi="Arial"/>
          <w:sz w:val="18"/>
          <w:szCs w:val="18"/>
          <w:b w:val="1"/>
          <w:bCs w:val="1"/>
          <w:color w:val="auto"/>
        </w:rPr>
      </w:pPr>
    </w:p>
    <w:p>
      <w:pPr>
        <w:ind w:left="-8" w:right="40" w:firstLine="656"/>
        <w:spacing w:after="0" w:line="286" w:lineRule="auto"/>
        <w:tabs>
          <w:tab w:leader="none" w:pos="1490"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26" w:name="page27"/>
    <w:bookmarkEnd w:id="26"/>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represented by certificates issued in registered form</w:t>
      </w:r>
      <w:r>
        <w:rPr>
          <w:rFonts w:ascii="Arial" w:cs="Arial" w:eastAsia="Arial" w:hAnsi="Arial"/>
          <w:sz w:val="16"/>
          <w:szCs w:val="16"/>
          <w:color w:val="auto"/>
        </w:rPr>
        <w:t>, appropriate instruments of transfer or endorsement, in a form satisfactory to the Custodian, (ii)</w:t>
      </w:r>
      <w:r>
        <w:rPr>
          <w:rFonts w:ascii="Arial" w:cs="Arial" w:eastAsia="Arial" w:hAnsi="Arial"/>
          <w:sz w:val="16"/>
          <w:szCs w:val="16"/>
          <w:i w:val="1"/>
          <w:iCs w:val="1"/>
          <w:color w:val="auto"/>
        </w:rPr>
        <w:t xml:space="preserve"> in the case of Shares represented by certificates in bearer form, </w:t>
      </w:r>
      <w:r>
        <w:rPr>
          <w:rFonts w:ascii="Arial" w:cs="Arial" w:eastAsia="Arial" w:hAnsi="Arial"/>
          <w:sz w:val="16"/>
          <w:szCs w:val="16"/>
          <w:color w:val="auto"/>
        </w:rPr>
        <w:t>the requisite coupons and talons pertaining thereto, and (iii)</w:t>
      </w:r>
      <w:r>
        <w:rPr>
          <w:rFonts w:ascii="Arial" w:cs="Arial" w:eastAsia="Arial" w:hAnsi="Arial"/>
          <w:sz w:val="16"/>
          <w:szCs w:val="16"/>
          <w:i w:val="1"/>
          <w:iCs w:val="1"/>
          <w:color w:val="auto"/>
        </w:rPr>
        <w:t xml:space="preserve"> 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CREST,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7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firstLine="648"/>
        <w:spacing w:after="0" w:line="287"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made arrangements with the Custodian for the Custodian to confirm to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Exhibit B hereto) and all taxes and governmental charges and fees payable in connection with such deposit and the transfer of the Shares and the issuance of the ADS(s). The Depositary shall only issue ADSs in whole numbers and deliver, if applicable, ADR(s) evidencing whole numbers of ADSs. Nothing herein shall prohibit any Pre-Release Transaction upon the terms set forth in the Deposit Agreement.</w:t>
      </w:r>
    </w:p>
    <w:p>
      <w:pPr>
        <w:spacing w:after="0" w:line="16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p>
    <w:p>
      <w:pPr>
        <w:spacing w:after="0" w:line="225" w:lineRule="exact"/>
        <w:rPr>
          <w:sz w:val="20"/>
          <w:szCs w:val="20"/>
          <w:color w:val="auto"/>
        </w:rPr>
      </w:pPr>
    </w:p>
    <w:p>
      <w:pPr>
        <w:ind w:right="80" w:firstLine="656"/>
        <w:spacing w:after="0" w:line="270" w:lineRule="auto"/>
        <w:tabs>
          <w:tab w:leader="none" w:pos="148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transfer of ADRs (and of the ADSs represented thereby) on the books maintained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applicable ADRs, of the Deposit Agreement and of applicable law, in each case as in effect at the time thereof.</w:t>
      </w:r>
    </w:p>
    <w:p>
      <w:pPr>
        <w:spacing w:after="0" w:line="177" w:lineRule="exact"/>
        <w:rPr>
          <w:rFonts w:ascii="Arial" w:cs="Arial" w:eastAsia="Arial" w:hAnsi="Arial"/>
          <w:sz w:val="17"/>
          <w:szCs w:val="17"/>
          <w:b w:val="1"/>
          <w:bCs w:val="1"/>
          <w:color w:val="auto"/>
        </w:rPr>
      </w:pPr>
    </w:p>
    <w:p>
      <w:pPr>
        <w:jc w:val="both"/>
        <w:ind w:right="80" w:firstLine="656"/>
        <w:spacing w:after="0" w:line="289" w:lineRule="auto"/>
        <w:tabs>
          <w:tab w:leader="none" w:pos="1498"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Combination &amp;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w:t>
      </w:r>
    </w:p>
    <w:p>
      <w:pPr>
        <w:spacing w:after="0" w:line="1" w:lineRule="exact"/>
        <w:rPr>
          <w:rFonts w:ascii="Arial" w:cs="Arial" w:eastAsia="Arial" w:hAnsi="Arial"/>
          <w:sz w:val="16"/>
          <w:szCs w:val="16"/>
          <w:b w:val="1"/>
          <w:bCs w:val="1"/>
          <w:color w:val="auto"/>
        </w:rPr>
      </w:pPr>
    </w:p>
    <w:p>
      <w:pPr>
        <w:ind w:right="200" w:firstLine="8"/>
        <w:spacing w:after="0" w:line="271"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right="20" w:firstLine="648"/>
        <w:spacing w:after="0" w:line="283"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Exhibit B)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 Upon satisfaction of each of the conditions specified above, the Depositary (i) shall cancel the ADSs Delivered to it (and, if applicable, the ADR(s) evidencing the ADSs so Delivered),</w:t>
      </w:r>
    </w:p>
    <w:p>
      <w:pPr>
        <w:spacing w:after="0" w:line="8" w:lineRule="exact"/>
        <w:rPr>
          <w:sz w:val="20"/>
          <w:szCs w:val="20"/>
          <w:color w:val="auto"/>
        </w:rPr>
      </w:pPr>
    </w:p>
    <w:p>
      <w:pPr>
        <w:ind w:firstLine="8"/>
        <w:spacing w:after="0" w:line="281"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 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applicable fees and charges of, and expenses incurred by, the Depositary and (b) applicable taxes withheld) to the person surrendering the ADSs.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ind w:firstLine="648"/>
        <w:spacing w:after="0" w:line="255"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20" w:firstLine="656"/>
        <w:spacing w:after="0" w:line="254" w:lineRule="auto"/>
        <w:tabs>
          <w:tab w:leader="none" w:pos="148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precedent to the execution and Delivery, the registration of issuance, transfer, split-up,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(ii) the production of proof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89" w:lineRule="exact"/>
        <w:rPr>
          <w:rFonts w:ascii="Arial" w:cs="Arial" w:eastAsia="Arial" w:hAnsi="Arial"/>
          <w:sz w:val="18"/>
          <w:szCs w:val="18"/>
          <w:b w:val="1"/>
          <w:bCs w:val="1"/>
          <w:color w:val="auto"/>
        </w:rPr>
      </w:pPr>
    </w:p>
    <w:p>
      <w:pPr>
        <w:ind w:right="20" w:firstLine="656"/>
        <w:spacing w:after="0" w:line="292" w:lineRule="auto"/>
        <w:tabs>
          <w:tab w:leader="none" w:pos="149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20" w:firstLine="656"/>
        <w:spacing w:after="0" w:line="274" w:lineRule="auto"/>
        <w:tabs>
          <w:tab w:leader="none" w:pos="152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w:t>
      </w:r>
    </w:p>
    <w:p>
      <w:pPr>
        <w:spacing w:after="0" w:line="2" w:lineRule="exact"/>
        <w:rPr>
          <w:sz w:val="20"/>
          <w:szCs w:val="20"/>
          <w:color w:val="auto"/>
        </w:rPr>
      </w:pPr>
    </w:p>
    <w:p>
      <w:pPr>
        <w:jc w:val="both"/>
        <w:ind w:right="40" w:firstLine="8"/>
        <w:spacing w:after="0" w:line="295"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58"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(i) entitle the holders thereof to receive a per-share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“Full Entitlement Shares” and the Shares with different entitlement, “Partial Entitlement Shares”),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(“Partial Entitlement ADSs/ADRs” and “Full Entitlement ADSs/ADRs”,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issue ADSs that are not evidenced by ADRs (such ADSs, the “Uncertificated ADS(s)” and the ADS(s) evidenced by ADR(s), the “Certificated ADS(s)”). When issuing and maintaining Uncertificated ADS(s) under the Deposit Agreement, the Depositary shall at all times be subject to</w:t>
      </w:r>
    </w:p>
    <w:p>
      <w:pPr>
        <w:spacing w:after="0" w:line="2" w:lineRule="exact"/>
        <w:rPr>
          <w:sz w:val="20"/>
          <w:szCs w:val="20"/>
          <w:color w:val="auto"/>
        </w:rPr>
      </w:pPr>
    </w:p>
    <w:p>
      <w:pPr>
        <w:ind w:right="40" w:firstLine="8"/>
        <w:spacing w:after="0" w:line="281"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w:t>
      </w:r>
    </w:p>
    <w:p>
      <w:pPr>
        <w:spacing w:after="0" w:line="12" w:lineRule="exact"/>
        <w:rPr>
          <w:rFonts w:ascii="Arial" w:cs="Arial" w:eastAsia="Arial" w:hAnsi="Arial"/>
          <w:sz w:val="16"/>
          <w:szCs w:val="16"/>
          <w:color w:val="auto"/>
        </w:rPr>
      </w:pPr>
    </w:p>
    <w:p>
      <w:pPr>
        <w:ind w:firstLine="8"/>
        <w:spacing w:after="0" w:line="266"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of the Deposit Agreement.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of Shares that are Restricted Securities in order to enable the holder of such Shares to hold its ownership interests in such Restricted Securities in the form of ADSs issued under the terms hereof (such Shares, “Restricted Shares”).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“Restricted ADSs,” and the ADRs evidencing such Restricted ADSs, the “Restricted ADRs”). Notwithstanding anything contained in this Section 2.14, the Depositary and the Company may, to the extent not prohibited by law, agree to issue the Restricted ADSs in uncertificated form (“Uncertificated Restricted ADSs”)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Shares and the Restricted ADSs shall not be eligible for Pre-Release Transactions.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firstLine="648"/>
        <w:spacing w:after="0" w:line="288"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Pre-Release Transactions and for inclusion in the applicable book-entry settlement systems.</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firstLine="648"/>
        <w:spacing w:after="0" w:line="269"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this Section 3.2 shall survive any transfer of ADSs, any cancellation of ADSs and withdrawal of Deposited Securities, and the termination of the Deposit Agreement.</w:t>
      </w:r>
    </w:p>
    <w:p>
      <w:pPr>
        <w:spacing w:after="0" w:line="18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right="40" w:firstLine="648"/>
        <w:spacing w:after="0" w:line="254"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Ownership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the Deposit Agreement or any ADR, the Company may restrict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 notice, the Depositary shall establish the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Shares,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 w:name="page41"/>
    <w:bookmarkEnd w:id="40"/>
    <w:p>
      <w:pPr>
        <w:ind w:left="652"/>
        <w:spacing w:after="0"/>
        <w:tabs>
          <w:tab w:leader="none" w:pos="1952"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p>
    <w:p>
      <w:pPr>
        <w:spacing w:after="0" w:line="225" w:lineRule="exact"/>
        <w:rPr>
          <w:sz w:val="20"/>
          <w:szCs w:val="20"/>
          <w:color w:val="auto"/>
        </w:rPr>
      </w:pPr>
    </w:p>
    <w:p>
      <w:pPr>
        <w:ind w:left="-8" w:right="60" w:firstLine="656"/>
        <w:spacing w:after="0" w:line="285" w:lineRule="auto"/>
        <w:tabs>
          <w:tab w:leader="none" w:pos="1390"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w:t>
      </w:r>
    </w:p>
    <w:p>
      <w:pPr>
        <w:spacing w:after="0" w:line="1" w:lineRule="exact"/>
        <w:rPr>
          <w:rFonts w:ascii="Arial" w:cs="Arial" w:eastAsia="Arial" w:hAnsi="Arial"/>
          <w:sz w:val="16"/>
          <w:szCs w:val="16"/>
          <w:b w:val="1"/>
          <w:bCs w:val="1"/>
          <w:color w:val="auto"/>
        </w:rPr>
      </w:pPr>
    </w:p>
    <w:p>
      <w:pPr>
        <w:ind w:left="-8" w:firstLine="8"/>
        <w:spacing w:after="0" w:line="287" w:lineRule="auto"/>
        <w:tabs>
          <w:tab w:leader="none" w:pos="2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66" w:lineRule="exact"/>
        <w:rPr>
          <w:rFonts w:ascii="Arial" w:cs="Arial" w:eastAsia="Arial" w:hAnsi="Arial"/>
          <w:sz w:val="16"/>
          <w:szCs w:val="16"/>
          <w:color w:val="auto"/>
        </w:rPr>
      </w:pPr>
    </w:p>
    <w:p>
      <w:pPr>
        <w:ind w:left="-8" w:right="20" w:firstLine="656"/>
        <w:spacing w:after="0" w:line="273" w:lineRule="auto"/>
        <w:tabs>
          <w:tab w:leader="none" w:pos="1490"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27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41" w:name="page42"/>
    <w:bookmarkEnd w:id="41"/>
    <w:p>
      <w:pPr>
        <w:ind w:right="340" w:firstLine="656"/>
        <w:spacing w:after="0" w:line="313" w:lineRule="auto"/>
        <w:tabs>
          <w:tab w:leader="none" w:pos="152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Depositary is unable to make any rights available to Holders upon the terms described in Section 4.4(a) or to</w:t>
      </w:r>
      <w:r>
        <w:rPr>
          <w:rFonts w:ascii="Arial" w:cs="Arial" w:eastAsia="Arial" w:hAnsi="Arial"/>
          <w:sz w:val="17"/>
          <w:szCs w:val="17"/>
          <w:b w:val="1"/>
          <w:bCs w:val="1"/>
          <w:color w:val="auto"/>
        </w:rPr>
        <w:t xml:space="preserve"> </w:t>
      </w:r>
      <w:r>
        <w:rPr>
          <w:rFonts w:ascii="Arial" w:cs="Arial" w:eastAsia="Arial" w:hAnsi="Arial"/>
          <w:sz w:val="17"/>
          <w:szCs w:val="17"/>
          <w:color w:val="auto"/>
        </w:rPr>
        <w:t>arrange for the sale of the rights upon the terms described in Section 4.4(b), the Depositary shall allow such rights to lapse.</w:t>
      </w:r>
    </w:p>
    <w:p>
      <w:pPr>
        <w:spacing w:after="0" w:line="14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p>
    <w:p>
      <w:pPr>
        <w:spacing w:after="0" w:line="229" w:lineRule="exact"/>
        <w:rPr>
          <w:sz w:val="20"/>
          <w:szCs w:val="20"/>
          <w:color w:val="auto"/>
        </w:rPr>
      </w:pPr>
    </w:p>
    <w:p>
      <w:pPr>
        <w:ind w:firstLine="656"/>
        <w:spacing w:after="0" w:line="255" w:lineRule="auto"/>
        <w:tabs>
          <w:tab w:leader="none" w:pos="148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9" w:lineRule="exact"/>
        <w:rPr>
          <w:rFonts w:ascii="Arial" w:cs="Arial" w:eastAsia="Arial" w:hAnsi="Arial"/>
          <w:sz w:val="18"/>
          <w:szCs w:val="18"/>
          <w:b w:val="1"/>
          <w:bCs w:val="1"/>
          <w:color w:val="auto"/>
        </w:rPr>
      </w:pPr>
    </w:p>
    <w:p>
      <w:pPr>
        <w:ind w:right="100" w:firstLine="656"/>
        <w:spacing w:after="0" w:line="272" w:lineRule="auto"/>
        <w:tabs>
          <w:tab w:leader="none" w:pos="1498" w:val="left"/>
        </w:tabs>
        <w:numPr>
          <w:ilvl w:val="1"/>
          <w:numId w:val="20"/>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77" w:lineRule="exact"/>
        <w:rPr>
          <w:rFonts w:ascii="Arial" w:cs="Arial" w:eastAsia="Arial" w:hAnsi="Arial"/>
          <w:sz w:val="17"/>
          <w:szCs w:val="17"/>
          <w:b w:val="1"/>
          <w:bCs w:val="1"/>
          <w:color w:val="auto"/>
        </w:rPr>
      </w:pPr>
    </w:p>
    <w:p>
      <w:pPr>
        <w:ind w:right="20" w:firstLine="656"/>
        <w:spacing w:after="0" w:line="285" w:lineRule="auto"/>
        <w:tabs>
          <w:tab w:leader="none" w:pos="1523"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w:t>
      </w:r>
    </w:p>
    <w:p>
      <w:pPr>
        <w:spacing w:after="0" w:line="2" w:lineRule="exact"/>
        <w:rPr>
          <w:rFonts w:ascii="Arial" w:cs="Arial" w:eastAsia="Arial" w:hAnsi="Arial"/>
          <w:sz w:val="16"/>
          <w:szCs w:val="16"/>
          <w:b w:val="1"/>
          <w:bCs w:val="1"/>
          <w:color w:val="auto"/>
        </w:rPr>
      </w:pPr>
    </w:p>
    <w:p>
      <w:pPr>
        <w:ind w:right="440" w:firstLine="8"/>
        <w:spacing w:after="0" w:line="290"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61" w:lineRule="exact"/>
        <w:rPr>
          <w:rFonts w:ascii="Arial" w:cs="Arial" w:eastAsia="Arial" w:hAnsi="Arial"/>
          <w:sz w:val="17"/>
          <w:szCs w:val="17"/>
          <w:color w:val="auto"/>
        </w:rPr>
      </w:pPr>
    </w:p>
    <w:p>
      <w:pPr>
        <w:jc w:val="both"/>
        <w:ind w:right="160" w:firstLine="656"/>
        <w:spacing w:after="0" w:line="264" w:lineRule="auto"/>
        <w:tabs>
          <w:tab w:leader="none" w:pos="1498"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3" w:name="page44"/>
    <w:bookmarkEnd w:id="43"/>
    <w:p>
      <w:pPr>
        <w:ind w:right="40" w:firstLine="648"/>
        <w:spacing w:after="0" w:line="268"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intends to exercise any right of redemption in respect of any of the Deposited Securities,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Conversion of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or the Custodian shall receive Foreign Currency,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60" w:firstLine="648"/>
        <w:spacing w:after="0" w:line="264"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7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shall receive notice of the fixing of a record date by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60" w:firstLine="648"/>
        <w:spacing w:after="0" w:line="269"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p>
      <w:pPr>
        <w:ind w:right="20" w:firstLine="648"/>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this Section 4.10).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6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firstLine="648"/>
        <w:spacing w:after="0" w:line="281"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u w:val="single" w:color="auto"/>
          <w:color w:val="auto"/>
        </w:rPr>
        <w:t>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available for inspection by Holders at its Principal Office any reports and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jc w:val="both"/>
        <w:ind w:right="40" w:firstLine="648"/>
        <w:spacing w:after="0" w:line="302"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w:t>
      </w:r>
    </w:p>
    <w:p>
      <w:pPr>
        <w:spacing w:after="0" w:line="124"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Arial" w:cs="Arial" w:eastAsia="Arial" w:hAnsi="Arial"/>
          <w:sz w:val="17"/>
          <w:szCs w:val="17"/>
          <w:b w:val="1"/>
          <w:bCs w:val="1"/>
          <w:color w:val="auto"/>
        </w:rPr>
        <w:t>,</w:t>
      </w:r>
      <w:r>
        <w:rPr>
          <w:rFonts w:ascii="Arial" w:cs="Arial" w:eastAsia="Arial" w:hAnsi="Arial"/>
          <w:sz w:val="17"/>
          <w:szCs w:val="17"/>
          <w:color w:val="auto"/>
        </w:rPr>
        <w:t xml:space="preserve"> in accordance with any requirements of such exchanges or systems. Such Registrar or co-registrars may be removed and a substitute or substitutes appointed by the Depositary.</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w:t>
      </w:r>
    </w:p>
    <w:p>
      <w:pPr>
        <w:ind w:right="280" w:firstLine="8"/>
        <w:spacing w:after="0" w:line="255"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1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disclaimer of liability under the Securities Act is intended by any provision of the Deposit Agreement.</w:t>
      </w:r>
    </w:p>
    <w:p>
      <w:pPr>
        <w:spacing w:after="0" w:line="221"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ind w:firstLine="648"/>
        <w:spacing w:after="0" w:line="290"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Resignation and Removal of the Depositary; Appointment of Successor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at any time resign as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ind w:right="8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Branch, as Custodian for the purpose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Citibank, N.A. may at any time act as Custodian of the Deposited Property pursuant to the Deposit Agreement, in which case any reference to Custodian shall mean Citibank, N.A. solely in its capacity as Custodian pursuant to the Deposit Agreement. Notwithstanding anything contained in the Deposit Agreement or any ADR,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w:t>
      </w:r>
    </w:p>
    <w:p>
      <w:pPr>
        <w:spacing w:after="0" w:line="4" w:lineRule="exact"/>
        <w:rPr>
          <w:sz w:val="20"/>
          <w:szCs w:val="20"/>
          <w:color w:val="auto"/>
        </w:rPr>
      </w:pPr>
    </w:p>
    <w:p>
      <w:pPr>
        <w:ind w:right="20" w:firstLine="8"/>
        <w:spacing w:after="0" w:line="285"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right="16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N.A.) against (x)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 (y) any fees, charges or expenses payable by third party Holders or Beneficial Owners under this Deposit Agreement, or (z) any Pre-Release Transaction (as defined in Section 5.10) other than a Pre-Release Transaction entered into at the request of the Company .</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left="660"/>
        <w:spacing w:after="0"/>
        <w:rPr>
          <w:sz w:val="20"/>
          <w:szCs w:val="20"/>
          <w:color w:val="auto"/>
        </w:rPr>
      </w:pPr>
      <w:r>
        <w:rPr>
          <w:rFonts w:ascii="Arial" w:cs="Arial" w:eastAsia="Arial" w:hAnsi="Arial"/>
          <w:sz w:val="17"/>
          <w:szCs w:val="17"/>
          <w:color w:val="auto"/>
        </w:rPr>
        <w:t>The obligations set forth in this Section shall survive the termination of the Deposit Agreement and the succession or substitution of any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in connection with the issuance and cancellation of ADSs, and persons receiving ADSs upon issuance or whose ADSs are being cancelled shall be required to pay the ADS fees and charges identified as payable by them respectively in the ADS fee schedule attached hereto as Exhibit B. 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in Section 6.1. The Depositary shall provide, without charge, a copy of its latest ADS fee schedule to anyone upon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 w:name="page57"/>
    <w:bookmarkEnd w:id="56"/>
    <w:p>
      <w:pPr>
        <w:ind w:right="40" w:firstLine="648"/>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Pre-Release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further terms and provisions of this Section 5.10, the Depositary, its Affiliates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and (ii) deliver Shares prior to the receipt of ADSs for withdrawal of Deposited Securities pursuant to Section 2.7, including ADSs which were issued under</w:t>
      </w:r>
    </w:p>
    <w:p>
      <w:pPr>
        <w:spacing w:after="0" w:line="3" w:lineRule="exact"/>
        <w:rPr>
          <w:sz w:val="20"/>
          <w:szCs w:val="20"/>
          <w:color w:val="auto"/>
        </w:rPr>
      </w:pPr>
    </w:p>
    <w:p>
      <w:pPr>
        <w:ind w:firstLine="8"/>
        <w:spacing w:after="0" w:line="267" w:lineRule="auto"/>
        <w:tabs>
          <w:tab w:leader="none" w:pos="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above but for which Shares may not have been received (each such transaction a “Pre-Release Transaction”). The Depositary may receive ADSs in lieu of Shares under (i) above and receive Shares in lieu of ADSs under (ii) above. Each such Pre-Release Transaction will be (a) subject to a written agreement whereby the person or entity (the “Applicant”)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60" w:firstLine="648"/>
        <w:spacing w:after="0" w:line="312" w:lineRule="auto"/>
        <w:rPr>
          <w:sz w:val="20"/>
          <w:szCs w:val="20"/>
          <w:color w:val="auto"/>
        </w:rPr>
      </w:pPr>
      <w:r>
        <w:rPr>
          <w:rFonts w:ascii="Arial" w:cs="Arial" w:eastAsia="Arial" w:hAnsi="Arial"/>
          <w:sz w:val="16"/>
          <w:szCs w:val="16"/>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4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firstLine="648"/>
        <w:spacing w:after="0" w:line="271"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Deposit Agreement, and the Holders and Beneficial Owners will be entitled to all of their rights under the Deposit Agreement.</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ind w:right="6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No Third-Party Beneficiaries.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is for the exclusive benefit of the parties hereto (and their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(b) obligate Citibank or any of its Affiliates to disclose such information, transactions or relationships, or to account for any profit made or payment received in such transactions or relationships, and (v) the Depositary shall not be deemed to have knowledge of any information any other division of Citibank or any of its Affiliates may have about the Company, the Holders, the Beneficial Owners, or any of their respective Affiliates.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by mail, air courier or cable, telex or facsimile transmission, confirmed by letter personally delivered or sent by mail or air courier, addressed to Mereo BioPharma Group plc, Fourth Floor, One Cavendish Place, London W1G 0QF, United Kingdom, Attention: General Counsel, or to any other address which the Company may specify in writing to the Depositary.</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as the ADSs in their DTC accounts and to the Beneficial Owners of such ADSs.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1" w:name="page62"/>
    <w:bookmarkEnd w:id="61"/>
    <w:p>
      <w:pPr>
        <w:ind w:right="80" w:firstLine="648"/>
        <w:spacing w:after="0" w:line="276"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and the ADRs shall be interpreted in accordance with, and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Cogency Global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10 East 40th Street, 10th Floor, New York, New York 10016,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firstLine="648"/>
        <w:spacing w:after="0" w:line="254" w:lineRule="auto"/>
        <w:rPr>
          <w:sz w:val="20"/>
          <w:szCs w:val="20"/>
          <w:color w:val="auto"/>
        </w:rPr>
      </w:pPr>
      <w:r>
        <w:rPr>
          <w:rFonts w:ascii="Arial" w:cs="Arial" w:eastAsia="Arial" w:hAnsi="Arial"/>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54"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right="280" w:firstLine="648"/>
        <w:spacing w:after="0" w:line="277" w:lineRule="auto"/>
        <w:rPr>
          <w:sz w:val="20"/>
          <w:szCs w:val="20"/>
          <w:color w:val="auto"/>
        </w:rPr>
      </w:pPr>
      <w:r>
        <w:rPr>
          <w:rFonts w:ascii="Arial" w:cs="Arial" w:eastAsia="Arial" w:hAnsi="Arial"/>
          <w:sz w:val="18"/>
          <w:szCs w:val="18"/>
          <w:color w:val="auto"/>
        </w:rPr>
        <w:t>No disclaimer of liability under the Securities Act is intended by any provision of the Deposit Agreement. The provisions of this Section 7.6 shall survive any termination of the Deposit Agreement, in whole or in part.</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Deposit Agreement to the contrary, the withdrawal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6"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England and Wales Law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Any summary of the laws and regulations of England and Wales and of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7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p>
    <w:p>
      <w:pPr>
        <w:spacing w:after="0" w:line="225" w:lineRule="exact"/>
        <w:rPr>
          <w:sz w:val="20"/>
          <w:szCs w:val="20"/>
          <w:color w:val="auto"/>
        </w:rPr>
      </w:pPr>
    </w:p>
    <w:p>
      <w:pPr>
        <w:ind w:right="20" w:firstLine="656"/>
        <w:spacing w:after="0" w:line="291" w:lineRule="auto"/>
        <w:tabs>
          <w:tab w:leader="none" w:pos="99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60" w:lineRule="exact"/>
        <w:rPr>
          <w:rFonts w:ascii="Arial" w:cs="Arial" w:eastAsia="Arial" w:hAnsi="Arial"/>
          <w:sz w:val="16"/>
          <w:szCs w:val="16"/>
          <w:b w:val="1"/>
          <w:bCs w:val="1"/>
          <w:color w:val="auto"/>
        </w:rPr>
      </w:pPr>
    </w:p>
    <w:p>
      <w:pPr>
        <w:ind w:firstLine="656"/>
        <w:spacing w:after="0" w:line="272" w:lineRule="auto"/>
        <w:tabs>
          <w:tab w:leader="none" w:pos="1498"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Property as in effect at the relevant time of determination, unless otherwise required by law or regulation.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firstLine="648"/>
        <w:spacing w:after="0" w:line="264" w:lineRule="auto"/>
        <w:rPr>
          <w:sz w:val="20"/>
          <w:szCs w:val="20"/>
          <w:color w:val="auto"/>
        </w:rPr>
      </w:pPr>
      <w:r>
        <w:rPr>
          <w:rFonts w:ascii="Arial" w:cs="Arial" w:eastAsia="Arial" w:hAnsi="Arial"/>
          <w:sz w:val="18"/>
          <w:szCs w:val="18"/>
          <w:color w:val="auto"/>
        </w:rPr>
        <w:t>IN WITNESS WHEREOF, MEREO BIOPHARMA GROUP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b w:val="1"/>
                <w:bCs w:val="1"/>
                <w:color w:val="auto"/>
              </w:rPr>
              <w:t>[FORM OF ADR]</w:t>
            </w: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color w:val="auto"/>
              </w:rPr>
              <w:t>Number</w:t>
            </w:r>
          </w:p>
        </w:tc>
        <w:tc>
          <w:tcPr>
            <w:tcW w:w="8900" w:type="dxa"/>
            <w:vAlign w:val="bottom"/>
          </w:tcPr>
          <w:p>
            <w:pPr>
              <w:ind w:left="4360"/>
              <w:spacing w:after="0"/>
              <w:rPr>
                <w:sz w:val="20"/>
                <w:szCs w:val="20"/>
                <w:color w:val="auto"/>
              </w:rPr>
            </w:pPr>
            <w:r>
              <w:rPr>
                <w:rFonts w:ascii="Arial" w:cs="Arial" w:eastAsia="Arial" w:hAnsi="Arial"/>
                <w:sz w:val="18"/>
                <w:szCs w:val="18"/>
                <w:color w:val="auto"/>
              </w:rPr>
              <w:t>CUSIP NUMBER: _____________</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_____________</w:t>
            </w:r>
          </w:p>
        </w:tc>
        <w:tc>
          <w:tcPr>
            <w:tcW w:w="8900" w:type="dxa"/>
            <w:vAlign w:val="bottom"/>
            <w:vMerge w:val="restart"/>
          </w:tcPr>
          <w:p>
            <w:pPr>
              <w:ind w:left="4360"/>
              <w:spacing w:after="0"/>
              <w:rPr>
                <w:sz w:val="20"/>
                <w:szCs w:val="20"/>
                <w:color w:val="auto"/>
              </w:rPr>
            </w:pPr>
            <w:r>
              <w:rPr>
                <w:rFonts w:ascii="Arial" w:cs="Arial" w:eastAsia="Arial" w:hAnsi="Arial"/>
                <w:sz w:val="18"/>
                <w:szCs w:val="18"/>
                <w:color w:val="auto"/>
                <w:w w:val="89"/>
              </w:rPr>
              <w:t>American Depositary Shares (each American Depositary Share</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8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900" w:type="dxa"/>
            <w:vAlign w:val="bottom"/>
          </w:tcPr>
          <w:p>
            <w:pPr>
              <w:ind w:left="4360"/>
              <w:spacing w:after="0"/>
              <w:rPr>
                <w:sz w:val="20"/>
                <w:szCs w:val="20"/>
                <w:color w:val="auto"/>
              </w:rPr>
            </w:pPr>
            <w:r>
              <w:rPr>
                <w:rFonts w:ascii="Arial" w:cs="Arial" w:eastAsia="Arial" w:hAnsi="Arial"/>
                <w:sz w:val="18"/>
                <w:szCs w:val="18"/>
                <w:color w:val="auto"/>
                <w:w w:val="97"/>
              </w:rPr>
              <w:t>representing the right to receive four (4) fully paid ordinary</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8900" w:type="dxa"/>
            <w:vAlign w:val="bottom"/>
          </w:tcPr>
          <w:p>
            <w:pPr>
              <w:ind w:left="436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color w:val="auto"/>
                <w:w w:val="96"/>
              </w:rPr>
              <w:t>AMERICAN DEPOSITARY RECEIPT</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color w:val="auto"/>
                <w:w w:val="96"/>
              </w:rPr>
              <w:t>AMERICAN DEPOSITARY SHARES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89"/>
              </w:rPr>
              <w:t>representing</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95"/>
              </w:rPr>
              <w:t>DEPOSITED ORDINARY SHARES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95"/>
              </w:rPr>
              <w:t>MEREO BIOPHARMA GROUP PLC</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color w:val="auto"/>
                <w:w w:val="90"/>
              </w:rPr>
              <w:t>(Incorporated under the laws of England and Wales)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220"/>
        <w:spacing w:after="0" w:line="292" w:lineRule="auto"/>
        <w:rPr>
          <w:sz w:val="20"/>
          <w:szCs w:val="20"/>
          <w:color w:val="auto"/>
        </w:rPr>
      </w:pPr>
      <w:r>
        <w:rPr>
          <w:rFonts w:ascii="Arial" w:cs="Arial" w:eastAsia="Arial" w:hAnsi="Arial"/>
          <w:sz w:val="16"/>
          <w:szCs w:val="16"/>
          <w:color w:val="auto"/>
        </w:rPr>
        <w:t>deposited ordinary shares, including evidence of rights to receive such ordinary shares (the “Shares”), of Mereo BioPharma Group plc, a public limited company incorporated under the laws of England and Wales (the “Company”). As of the date of issuance of this ADR, each ADS represents the right to receive four (4) Shares deposited under the Deposit Agreement (as hereinafter defined) with the Custodian, which at the date of execution of the Deposit Agreement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59" w:lineRule="exact"/>
        <w:rPr>
          <w:sz w:val="20"/>
          <w:szCs w:val="20"/>
          <w:color w:val="auto"/>
        </w:rPr>
      </w:pPr>
    </w:p>
    <w:p>
      <w:pPr>
        <w:ind w:firstLine="656"/>
        <w:spacing w:after="0" w:line="269" w:lineRule="auto"/>
        <w:tabs>
          <w:tab w:leader="none" w:pos="1533"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The 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American Depositary Receipt is one of an issue of American Depositary Receipts (“ADRs”), all issued</w:t>
      </w:r>
      <w:r>
        <w:rPr>
          <w:rFonts w:ascii="Arial" w:cs="Arial" w:eastAsia="Arial" w:hAnsi="Arial"/>
          <w:sz w:val="17"/>
          <w:szCs w:val="17"/>
          <w:b w:val="1"/>
          <w:bCs w:val="1"/>
          <w:color w:val="auto"/>
        </w:rPr>
        <w:t xml:space="preserve"> </w:t>
      </w:r>
      <w:r>
        <w:rPr>
          <w:rFonts w:ascii="Arial" w:cs="Arial" w:eastAsia="Arial" w:hAnsi="Arial"/>
          <w:sz w:val="17"/>
          <w:szCs w:val="17"/>
          <w:color w:val="auto"/>
        </w:rPr>
        <w:t>and to be issued upon the terms and conditions set forth in the Deposit Agreement, dated as of [ ], 2018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ind w:right="200" w:firstLine="648"/>
        <w:spacing w:after="0" w:line="264"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firstLine="656"/>
        <w:spacing w:after="0" w:line="269" w:lineRule="auto"/>
        <w:tabs>
          <w:tab w:leader="none" w:pos="1533"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ADR (and of the ADSs evidenced hereby)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7" w:name="page68"/>
    <w:bookmarkEnd w:id="67"/>
    <w:p>
      <w:pPr>
        <w:ind w:firstLine="648"/>
        <w:spacing w:after="0" w:line="254" w:lineRule="auto"/>
        <w:rPr>
          <w:sz w:val="20"/>
          <w:szCs w:val="20"/>
          <w:color w:val="auto"/>
        </w:rPr>
      </w:pPr>
      <w:r>
        <w:rPr>
          <w:rFonts w:ascii="Arial" w:cs="Arial" w:eastAsia="Arial" w:hAnsi="Arial"/>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8"/>
          <w:szCs w:val="18"/>
          <w:i w:val="1"/>
          <w:iCs w:val="1"/>
          <w:color w:val="auto"/>
        </w:rPr>
        <w:t xml:space="preserve">subject however, in each case, </w:t>
      </w:r>
      <w:r>
        <w:rPr>
          <w:rFonts w:ascii="Arial" w:cs="Arial" w:eastAsia="Arial" w:hAnsi="Arial"/>
          <w:sz w:val="18"/>
          <w:szCs w:val="18"/>
          <w:color w:val="auto"/>
        </w:rPr>
        <w:t>to the terms and conditions of the Deposit Agreement, of this ADR evidencing the ADSs so canceled, of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74" w:lineRule="exact"/>
        <w:rPr>
          <w:sz w:val="20"/>
          <w:szCs w:val="20"/>
          <w:color w:val="auto"/>
        </w:rPr>
      </w:pPr>
    </w:p>
    <w:p>
      <w:pPr>
        <w:ind w:right="40" w:firstLine="656"/>
        <w:spacing w:after="0" w:line="289" w:lineRule="auto"/>
        <w:tabs>
          <w:tab w:leader="none" w:pos="1533"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40" w:firstLine="648"/>
        <w:spacing w:after="0" w:line="271"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175" w:lineRule="exact"/>
        <w:rPr>
          <w:sz w:val="20"/>
          <w:szCs w:val="20"/>
          <w:color w:val="auto"/>
        </w:rPr>
      </w:pPr>
    </w:p>
    <w:p>
      <w:pPr>
        <w:ind w:right="40" w:firstLine="656"/>
        <w:spacing w:after="0" w:line="271" w:lineRule="auto"/>
        <w:tabs>
          <w:tab w:leader="none" w:pos="1533"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Pre-Conditions to Registration, Transfer, Etc</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precedent to the execution and Delivery, the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20" w:firstLine="656"/>
        <w:spacing w:after="0" w:line="291" w:lineRule="auto"/>
        <w:tabs>
          <w:tab w:leader="none" w:pos="151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60" w:lineRule="exact"/>
        <w:rPr>
          <w:rFonts w:ascii="Arial" w:cs="Arial" w:eastAsia="Arial" w:hAnsi="Arial"/>
          <w:sz w:val="16"/>
          <w:szCs w:val="16"/>
          <w:b w:val="1"/>
          <w:bCs w:val="1"/>
          <w:color w:val="auto"/>
        </w:rPr>
      </w:pPr>
    </w:p>
    <w:p>
      <w:pPr>
        <w:ind w:left="-20" w:right="40" w:firstLine="656"/>
        <w:spacing w:after="0" w:line="270" w:lineRule="auto"/>
        <w:tabs>
          <w:tab w:leader="none" w:pos="151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this ADR or of the Deposit Agreement or any ADR,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70" w:name="page71"/>
    <w:bookmarkEnd w:id="70"/>
    <w:p>
      <w:pPr>
        <w:ind w:firstLine="656"/>
        <w:spacing w:after="0" w:line="273" w:lineRule="auto"/>
        <w:tabs>
          <w:tab w:leader="none" w:pos="1533"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rFonts w:ascii="Arial" w:cs="Arial" w:eastAsia="Arial" w:hAnsi="Arial"/>
          <w:sz w:val="17"/>
          <w:szCs w:val="17"/>
          <w:b w:val="1"/>
          <w:bCs w:val="1"/>
          <w:color w:val="auto"/>
        </w:rPr>
      </w:pPr>
    </w:p>
    <w:p>
      <w:pPr>
        <w:ind w:right="80" w:firstLine="656"/>
        <w:spacing w:after="0" w:line="287" w:lineRule="auto"/>
        <w:tabs>
          <w:tab w:leader="none" w:pos="153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this ADR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Section 3.2 of the Deposit Agreement shall survive any transfer of ADSs, any cancellation of ADSs and withdrawal of Deposited Securities, and the termination of the Deposit Agreement.</w:t>
      </w:r>
    </w:p>
    <w:p>
      <w:pPr>
        <w:spacing w:after="0" w:line="168" w:lineRule="exact"/>
        <w:rPr>
          <w:rFonts w:ascii="Arial" w:cs="Arial" w:eastAsia="Arial" w:hAnsi="Arial"/>
          <w:sz w:val="16"/>
          <w:szCs w:val="16"/>
          <w:b w:val="1"/>
          <w:bCs w:val="1"/>
          <w:color w:val="auto"/>
        </w:rPr>
      </w:pPr>
    </w:p>
    <w:p>
      <w:pPr>
        <w:ind w:firstLine="656"/>
        <w:spacing w:after="0" w:line="270" w:lineRule="auto"/>
        <w:tabs>
          <w:tab w:leader="none" w:pos="1533"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ind w:left="-40" w:firstLine="656"/>
        <w:spacing w:after="0" w:line="268" w:lineRule="auto"/>
        <w:tabs>
          <w:tab w:leader="none" w:pos="140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the terms of Section 7.8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6" w:lineRule="exact"/>
        <w:rPr>
          <w:rFonts w:ascii="Arial" w:cs="Arial" w:eastAsia="Arial" w:hAnsi="Arial"/>
          <w:sz w:val="17"/>
          <w:szCs w:val="17"/>
          <w:b w:val="1"/>
          <w:bCs w:val="1"/>
          <w:color w:val="auto"/>
        </w:rPr>
      </w:pPr>
    </w:p>
    <w:p>
      <w:pPr>
        <w:ind w:left="1400" w:hanging="784"/>
        <w:spacing w:after="0"/>
        <w:tabs>
          <w:tab w:leader="none" w:pos="1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229" w:lineRule="exact"/>
        <w:rPr>
          <w:rFonts w:ascii="Arial" w:cs="Arial" w:eastAsia="Arial" w:hAnsi="Arial"/>
          <w:sz w:val="18"/>
          <w:szCs w:val="18"/>
          <w:b w:val="1"/>
          <w:bCs w:val="1"/>
          <w:color w:val="auto"/>
        </w:rPr>
      </w:pPr>
    </w:p>
    <w:p>
      <w:pPr>
        <w:ind w:left="1920" w:right="120" w:hanging="655"/>
        <w:spacing w:after="0" w:line="259"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ADS Issuance Fee</w:t>
      </w:r>
      <w:r>
        <w:rPr>
          <w:rFonts w:ascii="Arial" w:cs="Arial" w:eastAsia="Arial" w:hAnsi="Arial"/>
          <w:sz w:val="18"/>
          <w:szCs w:val="18"/>
          <w:color w:val="auto"/>
        </w:rPr>
        <w:t>: by any person to whom the ADSs are issued (</w:t>
      </w:r>
      <w:r>
        <w:rPr>
          <w:rFonts w:ascii="Arial" w:cs="Arial" w:eastAsia="Arial" w:hAnsi="Arial"/>
          <w:sz w:val="18"/>
          <w:szCs w:val="18"/>
          <w:i w:val="1"/>
          <w:iCs w:val="1"/>
          <w:color w:val="auto"/>
        </w:rPr>
        <w:t>e.g.</w:t>
      </w:r>
      <w:r>
        <w:rPr>
          <w:rFonts w:ascii="Arial" w:cs="Arial" w:eastAsia="Arial" w:hAnsi="Arial"/>
          <w:sz w:val="18"/>
          <w:szCs w:val="18"/>
          <w:color w:val="auto"/>
        </w:rPr>
        <w:t>, an issuance of ADSs upon a deposit of Shares, upon a change in the ADS(s)-to-Share(s) ratio, or for any other reason), excluding ADS issuances as a result of distributions described in paragraph (iv) below, a fee not in excess of U.S. $5.00 per 100 ADSs (or fraction thereof) issued under the terms of the Deposit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72" w:name="page73"/>
    <w:bookmarkEnd w:id="72"/>
    <w:p>
      <w:pPr>
        <w:ind w:left="1960" w:hanging="655"/>
        <w:spacing w:after="0" w:line="264"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whose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81" w:lineRule="exact"/>
        <w:rPr>
          <w:rFonts w:ascii="Arial" w:cs="Arial" w:eastAsia="Arial" w:hAnsi="Arial"/>
          <w:sz w:val="18"/>
          <w:szCs w:val="18"/>
          <w:color w:val="auto"/>
        </w:rPr>
      </w:pPr>
    </w:p>
    <w:p>
      <w:pPr>
        <w:ind w:left="1960" w:right="220" w:hanging="655"/>
        <w:spacing w:after="0" w:line="308" w:lineRule="auto"/>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sale of rights and other entitlements);</w:t>
      </w:r>
    </w:p>
    <w:p>
      <w:pPr>
        <w:spacing w:after="0" w:line="146" w:lineRule="exact"/>
        <w:rPr>
          <w:rFonts w:ascii="Arial" w:cs="Arial" w:eastAsia="Arial" w:hAnsi="Arial"/>
          <w:sz w:val="17"/>
          <w:szCs w:val="17"/>
          <w:color w:val="auto"/>
        </w:rPr>
      </w:pPr>
    </w:p>
    <w:p>
      <w:pPr>
        <w:jc w:val="both"/>
        <w:ind w:left="1960" w:right="300" w:hanging="655"/>
        <w:spacing w:after="0" w:line="264"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(a) the distribution of stock dividends or other free stock distributions or (b) the exercise of rights to purchase additional ADSs;</w:t>
      </w:r>
    </w:p>
    <w:p>
      <w:pPr>
        <w:spacing w:after="0" w:line="181" w:lineRule="exact"/>
        <w:rPr>
          <w:rFonts w:ascii="Arial" w:cs="Arial" w:eastAsia="Arial" w:hAnsi="Arial"/>
          <w:sz w:val="18"/>
          <w:szCs w:val="18"/>
          <w:color w:val="auto"/>
        </w:rPr>
      </w:pPr>
    </w:p>
    <w:p>
      <w:pPr>
        <w:ind w:left="1960" w:right="40" w:hanging="65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 and</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the issuance and cancellation of ADSs, persons receiving ADSs upon issuance, and persons whose ADSs are being cancelled shall be responsible for the following ADS charges under the terms of the Deposit Agreement:</w:t>
      </w:r>
    </w:p>
    <w:p>
      <w:pPr>
        <w:spacing w:after="0" w:line="181" w:lineRule="exact"/>
        <w:rPr>
          <w:sz w:val="20"/>
          <w:szCs w:val="20"/>
          <w:color w:val="auto"/>
        </w:rPr>
      </w:pPr>
    </w:p>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1960" w:right="20" w:hanging="655"/>
        <w:spacing w:after="0" w:line="342" w:lineRule="auto"/>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rFonts w:ascii="Arial" w:cs="Arial" w:eastAsia="Arial" w:hAnsi="Arial"/>
          <w:sz w:val="18"/>
          <w:szCs w:val="18"/>
          <w:color w:val="auto"/>
        </w:rPr>
      </w:pPr>
    </w:p>
    <w:p>
      <w:pPr>
        <w:ind w:left="1960" w:right="280" w:hanging="655"/>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70" w:lineRule="exact"/>
        <w:rPr>
          <w:rFonts w:ascii="Arial" w:cs="Arial" w:eastAsia="Arial" w:hAnsi="Arial"/>
          <w:sz w:val="18"/>
          <w:szCs w:val="18"/>
          <w:color w:val="auto"/>
        </w:rPr>
      </w:pPr>
    </w:p>
    <w:p>
      <w:pPr>
        <w:ind w:left="1960" w:right="240" w:hanging="655"/>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delivery or servicing of Deposited Property.</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by paragraph (23) of this ADR and as contemplated in Section 6.1 of the Deposit Agreement. The Depositary shall provide, without charge, a copy of its latest ADS fee schedule to anyone upon request.</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4" w:name="page75"/>
    <w:bookmarkEnd w:id="74"/>
    <w:p>
      <w:pPr>
        <w:ind w:right="8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2" w:lineRule="exact"/>
        <w:rPr>
          <w:sz w:val="20"/>
          <w:szCs w:val="20"/>
          <w:color w:val="auto"/>
        </w:rPr>
      </w:pPr>
    </w:p>
    <w:p>
      <w:pPr>
        <w:ind w:firstLine="656"/>
        <w:spacing w:after="0" w:line="271" w:lineRule="auto"/>
        <w:tabs>
          <w:tab w:leader="none" w:pos="1443"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4" w:lineRule="exact"/>
        <w:rPr>
          <w:rFonts w:ascii="Arial" w:cs="Arial" w:eastAsia="Arial" w:hAnsi="Arial"/>
          <w:sz w:val="17"/>
          <w:szCs w:val="17"/>
          <w:b w:val="1"/>
          <w:bCs w:val="1"/>
          <w:color w:val="auto"/>
        </w:rPr>
      </w:pPr>
    </w:p>
    <w:p>
      <w:pPr>
        <w:ind w:right="20" w:firstLine="656"/>
        <w:spacing w:after="0" w:line="255" w:lineRule="auto"/>
        <w:tabs>
          <w:tab w:leader="none" w:pos="144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ADR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this ADR (and the ADSs represented hereby) shall not be entitled to any benefits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ind w:right="40" w:firstLine="656"/>
        <w:spacing w:after="0" w:line="261" w:lineRule="auto"/>
        <w:tabs>
          <w:tab w:leader="none" w:pos="144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 of the Deposit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00"/>
          </w:cols>
          <w:pgMar w:left="240" w:top="337"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5000" w:space="720"/>
            <w:col w:w="5680"/>
          </w:cols>
          <w:pgMar w:left="240" w:top="337"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5000" w:space="720"/>
            <w:col w:w="5680"/>
          </w:cols>
          <w:pgMar w:left="240" w:top="337" w:right="259" w:bottom="1440" w:gutter="0" w:footer="0" w:header="0"/>
          <w:type w:val="continuous"/>
        </w:sectPr>
      </w:pPr>
    </w:p>
    <w:p>
      <w:pPr>
        <w:spacing w:after="0" w:line="1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left="-20" w:firstLine="656"/>
        <w:spacing w:after="0" w:line="284" w:lineRule="auto"/>
        <w:tabs>
          <w:tab w:leader="none" w:pos="142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cash dividend or other cash distribution in 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alia</w:t>
      </w:r>
      <w:r>
        <w:rPr>
          <w:rFonts w:ascii="Arial" w:cs="Arial" w:eastAsia="Arial" w:hAnsi="Arial"/>
          <w:sz w:val="16"/>
          <w:szCs w:val="16"/>
          <w:color w:val="auto"/>
        </w:rPr>
        <w:t>, the record date applicable for determining the holders of Deposited Securities entitled to receive such distribution. Upon the timely receipt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77" w:name="page78"/>
    <w:bookmarkEnd w:id="77"/>
    <w:p>
      <w:pPr>
        <w:ind w:firstLine="656"/>
        <w:spacing w:after="0" w:line="284" w:lineRule="auto"/>
        <w:tabs>
          <w:tab w:leader="none" w:pos="1173"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 Distributions: </w:t>
      </w:r>
      <w:r>
        <w:rPr>
          <w:rFonts w:ascii="Arial" w:cs="Arial" w:eastAsia="Arial" w:hAnsi="Arial"/>
          <w:sz w:val="16"/>
          <w:szCs w:val="16"/>
          <w:color w:val="auto"/>
        </w:rPr>
        <w:t>Whenever the Company intends to make a distribution that consists of a dividend in, or free distribution of, Shares,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 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left="-40" w:firstLine="656"/>
        <w:spacing w:after="0" w:line="284" w:lineRule="auto"/>
        <w:tabs>
          <w:tab w:leader="none" w:pos="1123"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Elective Distributions in Cash or Shares: </w:t>
      </w:r>
      <w:r>
        <w:rPr>
          <w:rFonts w:ascii="Arial" w:cs="Arial" w:eastAsia="Arial" w:hAnsi="Arial"/>
          <w:sz w:val="16"/>
          <w:szCs w:val="16"/>
          <w:color w:val="auto"/>
        </w:rPr>
        <w:t>Whenever the Company intends to make a distribution payable at the election of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or if the Company requests such elective distribution not to be made available to Holders of ADSs, the Depositary shall establish the ADS Record Date on the terms described in Section 4.9 of the Deposit Agreement and, to the extent permitted by law, distribute to the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79" w:name="page80"/>
    <w:bookmarkEnd w:id="79"/>
    <w:p>
      <w:pPr>
        <w:ind w:right="40" w:firstLine="656"/>
        <w:spacing w:after="0" w:line="284" w:lineRule="auto"/>
        <w:tabs>
          <w:tab w:leader="none" w:pos="117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 of Rights to Purchase Additional ADSs: </w:t>
      </w:r>
      <w:r>
        <w:rPr>
          <w:rFonts w:ascii="Arial" w:cs="Arial" w:eastAsia="Arial" w:hAnsi="Arial"/>
          <w:sz w:val="16"/>
          <w:szCs w:val="16"/>
          <w:color w:val="auto"/>
        </w:rPr>
        <w:t>Whenever the Company intends to distribute to the holders of the Deposited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w:t>
      </w:r>
    </w:p>
    <w:p>
      <w:pPr>
        <w:spacing w:after="0" w:line="1" w:lineRule="exact"/>
        <w:rPr>
          <w:rFonts w:ascii="Arial" w:cs="Arial" w:eastAsia="Arial" w:hAnsi="Arial"/>
          <w:sz w:val="16"/>
          <w:szCs w:val="16"/>
          <w:color w:val="auto"/>
        </w:rPr>
      </w:pPr>
    </w:p>
    <w:p>
      <w:pPr>
        <w:ind w:right="20" w:firstLine="8"/>
        <w:spacing w:after="0" w:line="268" w:lineRule="auto"/>
        <w:tabs>
          <w:tab w:leader="none" w:pos="3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of the Deposit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ind w:right="20" w:firstLine="648"/>
        <w:spacing w:after="0" w:line="308" w:lineRule="auto"/>
        <w:rPr>
          <w:sz w:val="20"/>
          <w:szCs w:val="20"/>
          <w:color w:val="auto"/>
        </w:rPr>
      </w:pPr>
      <w:r>
        <w:rPr>
          <w:rFonts w:ascii="Arial" w:cs="Arial" w:eastAsia="Arial" w:hAnsi="Arial"/>
          <w:sz w:val="17"/>
          <w:szCs w:val="17"/>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81" w:lineRule="exact"/>
        <w:rPr>
          <w:sz w:val="20"/>
          <w:szCs w:val="20"/>
          <w:color w:val="auto"/>
        </w:rPr>
      </w:pPr>
    </w:p>
    <w:p>
      <w:pPr>
        <w:ind w:right="100" w:firstLine="656"/>
        <w:spacing w:after="0" w:line="291" w:lineRule="auto"/>
        <w:tabs>
          <w:tab w:leader="none" w:pos="1163"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Other Than Cash, Shares or Rights to Purchase Shares: </w:t>
      </w:r>
      <w:r>
        <w:rPr>
          <w:rFonts w:ascii="Arial" w:cs="Arial" w:eastAsia="Arial" w:hAnsi="Arial"/>
          <w:sz w:val="16"/>
          <w:szCs w:val="16"/>
          <w:color w:val="auto"/>
        </w:rPr>
        <w:t>Whenever the Company intends to distribute to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right="60" w:firstLine="648"/>
        <w:spacing w:after="0" w:line="288" w:lineRule="auto"/>
        <w:rPr>
          <w:sz w:val="20"/>
          <w:szCs w:val="20"/>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w:t>
      </w:r>
    </w:p>
    <w:p>
      <w:pPr>
        <w:ind w:right="160" w:firstLine="8"/>
        <w:spacing w:after="0" w:line="254"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7" w:lineRule="exact"/>
        <w:rPr>
          <w:sz w:val="20"/>
          <w:szCs w:val="20"/>
          <w:color w:val="auto"/>
        </w:rPr>
      </w:pPr>
    </w:p>
    <w:p>
      <w:pPr>
        <w:ind w:firstLine="656"/>
        <w:spacing w:after="0" w:line="268" w:lineRule="auto"/>
        <w:tabs>
          <w:tab w:leader="none" w:pos="1443"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color w:val="auto"/>
        </w:rPr>
        <w:t>. If the Company intends to exercise any right of redemption in respect of any of the Deposited Securities,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right="40" w:firstLine="648"/>
        <w:spacing w:after="0" w:line="276" w:lineRule="auto"/>
        <w:rPr>
          <w:sz w:val="20"/>
          <w:szCs w:val="20"/>
          <w:color w:val="auto"/>
        </w:rPr>
      </w:pPr>
      <w:r>
        <w:rPr>
          <w:rFonts w:ascii="Arial" w:cs="Arial" w:eastAsia="Arial" w:hAnsi="Arial"/>
          <w:sz w:val="17"/>
          <w:szCs w:val="17"/>
          <w:color w:val="auto"/>
        </w:rPr>
        <w:t>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69" w:lineRule="exact"/>
        <w:rPr>
          <w:sz w:val="20"/>
          <w:szCs w:val="20"/>
          <w:color w:val="auto"/>
        </w:rPr>
      </w:pPr>
    </w:p>
    <w:p>
      <w:pPr>
        <w:ind w:firstLine="656"/>
        <w:spacing w:after="0" w:line="287" w:lineRule="auto"/>
        <w:tabs>
          <w:tab w:leader="none" w:pos="144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of the Deposit Agreement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firstLine="656"/>
        <w:spacing w:after="0" w:line="287" w:lineRule="auto"/>
        <w:tabs>
          <w:tab w:leader="none" w:pos="1443"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5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4" w:name="page85"/>
    <w:bookmarkEnd w:id="84"/>
    <w:p>
      <w:pPr>
        <w:ind w:firstLine="648"/>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Section 4.10 of the Deposit Agreement).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56"/>
        <w:spacing w:after="0" w:line="285" w:lineRule="auto"/>
        <w:tabs>
          <w:tab w:leader="none" w:pos="1443"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6" w:name="page87"/>
    <w:bookmarkEnd w:id="86"/>
    <w:p>
      <w:pPr>
        <w:ind w:firstLine="656"/>
        <w:spacing w:after="0" w:line="268" w:lineRule="auto"/>
        <w:tabs>
          <w:tab w:leader="none" w:pos="1443"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disclaimer of liability under the Securities Act is intended by any provision of the Deposit Agreement.</w:t>
      </w:r>
    </w:p>
    <w:p>
      <w:pPr>
        <w:spacing w:after="0" w:line="221" w:lineRule="exact"/>
        <w:rPr>
          <w:sz w:val="20"/>
          <w:szCs w:val="20"/>
          <w:color w:val="auto"/>
        </w:rPr>
      </w:pPr>
    </w:p>
    <w:p>
      <w:pPr>
        <w:ind w:right="160" w:firstLine="656"/>
        <w:spacing w:after="0" w:line="266" w:lineRule="auto"/>
        <w:tabs>
          <w:tab w:leader="none" w:pos="144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ind w:right="40" w:firstLine="648"/>
        <w:spacing w:after="0" w:line="290"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jc w:val="both"/>
        <w:ind w:firstLine="656"/>
        <w:spacing w:after="0" w:line="281" w:lineRule="auto"/>
        <w:tabs>
          <w:tab w:leader="none" w:pos="1443"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hereinafter provided.</w:t>
      </w:r>
    </w:p>
    <w:p>
      <w:pPr>
        <w:spacing w:after="0" w:line="16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hereinafter provided.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8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56"/>
        <w:spacing w:after="0" w:line="285" w:lineRule="auto"/>
        <w:tabs>
          <w:tab w:leader="none" w:pos="144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Section 6.1 of the Deposit Agreement and applicable law, the ADRs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right="20" w:firstLine="656"/>
        <w:spacing w:after="0" w:line="290" w:lineRule="auto"/>
        <w:tabs>
          <w:tab w:leader="none" w:pos="144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0" w:name="page91"/>
    <w:bookmarkEnd w:id="90"/>
    <w:p>
      <w:pPr>
        <w:ind w:right="2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in this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ind w:right="100" w:firstLine="656"/>
        <w:spacing w:after="0" w:line="266" w:lineRule="auto"/>
        <w:tabs>
          <w:tab w:leader="none" w:pos="1443"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Deposit Agreement to the contrary, the withdrawal or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6" w:lineRule="exact"/>
        <w:rPr>
          <w:rFonts w:ascii="Arial" w:cs="Arial" w:eastAsia="Arial" w:hAnsi="Arial"/>
          <w:sz w:val="18"/>
          <w:szCs w:val="18"/>
          <w:b w:val="1"/>
          <w:bCs w:val="1"/>
          <w:color w:val="auto"/>
        </w:rPr>
      </w:pPr>
    </w:p>
    <w:p>
      <w:pPr>
        <w:ind w:firstLine="656"/>
        <w:spacing w:after="0" w:line="285" w:lineRule="auto"/>
        <w:tabs>
          <w:tab w:leader="none" w:pos="1443"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Pre-Release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further terms and provisions of Section 5.10 of the Deposit Agreement, the Depositary,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their 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of the Deposit Agreement and (ii) deliver Shares prior to the receipt of ADSs for withdrawal of Deposited Securities pursuant to Section 2.7 of the Deposit Agreement, including ADSs which were issued under (i) above but for which Shares may not have been received (each such transaction a “</w:t>
      </w:r>
      <w:r>
        <w:rPr>
          <w:rFonts w:ascii="Arial" w:cs="Arial" w:eastAsia="Arial" w:hAnsi="Arial"/>
          <w:sz w:val="16"/>
          <w:szCs w:val="16"/>
          <w:u w:val="single" w:color="auto"/>
          <w:color w:val="auto"/>
        </w:rPr>
        <w:t>Pre-Release Transaction</w:t>
      </w:r>
      <w:r>
        <w:rPr>
          <w:rFonts w:ascii="Arial" w:cs="Arial" w:eastAsia="Arial" w:hAnsi="Arial"/>
          <w:sz w:val="16"/>
          <w:szCs w:val="16"/>
          <w:color w:val="auto"/>
        </w:rPr>
        <w:t>”). The Depositary may receive ADSs in lieu of Shares under (i) above and receive Shares in lieu of ADSs under (ii) above. Each such Pre-Release Transaction will be (a) subject to a written agreement whereby the person or entity (the “</w:t>
      </w:r>
      <w:r>
        <w:rPr>
          <w:rFonts w:ascii="Arial" w:cs="Arial" w:eastAsia="Arial" w:hAnsi="Arial"/>
          <w:sz w:val="16"/>
          <w:szCs w:val="16"/>
          <w:u w:val="single" w:color="auto"/>
          <w:color w:val="auto"/>
        </w:rPr>
        <w:t>Applicant</w:t>
      </w:r>
      <w:r>
        <w:rPr>
          <w:rFonts w:ascii="Arial" w:cs="Arial" w:eastAsia="Arial" w:hAnsi="Arial"/>
          <w:sz w:val="16"/>
          <w:szCs w:val="16"/>
          <w:color w:val="auto"/>
        </w:rPr>
        <w:t>”) to whom ADSs or Shares are to be delivered</w:t>
      </w:r>
    </w:p>
    <w:p>
      <w:pPr>
        <w:spacing w:after="0" w:line="1" w:lineRule="exact"/>
        <w:rPr>
          <w:rFonts w:ascii="Arial" w:cs="Arial" w:eastAsia="Arial" w:hAnsi="Arial"/>
          <w:sz w:val="16"/>
          <w:szCs w:val="16"/>
          <w:b w:val="1"/>
          <w:bCs w:val="1"/>
          <w:color w:val="auto"/>
        </w:rPr>
      </w:pPr>
    </w:p>
    <w:p>
      <w:pPr>
        <w:ind w:right="40" w:firstLine="8"/>
        <w:spacing w:after="0" w:line="268" w:lineRule="auto"/>
        <w:tabs>
          <w:tab w:leader="none" w:pos="2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right="60" w:firstLine="648"/>
        <w:spacing w:after="0" w:line="312" w:lineRule="auto"/>
        <w:rPr>
          <w:sz w:val="20"/>
          <w:szCs w:val="20"/>
          <w:color w:val="auto"/>
        </w:rPr>
      </w:pPr>
      <w:r>
        <w:rPr>
          <w:rFonts w:ascii="Arial" w:cs="Arial" w:eastAsia="Arial" w:hAnsi="Arial"/>
          <w:sz w:val="16"/>
          <w:szCs w:val="16"/>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43" w:lineRule="exact"/>
        <w:rPr>
          <w:sz w:val="20"/>
          <w:szCs w:val="20"/>
          <w:color w:val="auto"/>
        </w:rPr>
      </w:pPr>
    </w:p>
    <w:p>
      <w:pPr>
        <w:ind w:firstLine="656"/>
        <w:spacing w:after="0" w:line="256" w:lineRule="auto"/>
        <w:tabs>
          <w:tab w:leader="none" w:pos="144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and the ADRs shall be interpreted in accordance with, and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 taxpayer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number is _______________________ and whose address including postal zip code is ________________, the within ADR and all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ADR on the books of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full power of substitution in the premises.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Dated:</w:t>
            </w:r>
          </w:p>
        </w:tc>
        <w:tc>
          <w:tcPr>
            <w:tcW w:w="7540" w:type="dxa"/>
            <w:vAlign w:val="bottom"/>
          </w:tcPr>
          <w:p>
            <w:pPr>
              <w:ind w:left="18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2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23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NOTICE: The signature of the Holder to this assignment must correspond with</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2"/>
              </w:rPr>
              <w:t>the name as written upon the face of the within instrument in every particular,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without alteration or enlargement or any change whatsoever.</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0"/>
              </w:rPr>
              <w:t>If the endorsement be executed by an attorney, executor, administrator, trustee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3"/>
              </w:rPr>
              <w:t>or guardian, the person executing the endorsement must give his/her full title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in such capacity and proper evidence of authority to act in such capacity, if not</w:t>
            </w:r>
          </w:p>
        </w:tc>
        <w:tc>
          <w:tcPr>
            <w:tcW w:w="0" w:type="dxa"/>
            <w:vAlign w:val="bottom"/>
          </w:tcPr>
          <w:p>
            <w:pPr>
              <w:spacing w:after="0"/>
              <w:rPr>
                <w:sz w:val="1"/>
                <w:szCs w:val="1"/>
                <w:color w:val="auto"/>
              </w:rPr>
            </w:pPr>
          </w:p>
        </w:tc>
      </w:tr>
      <w:tr>
        <w:trPr>
          <w:trHeight w:val="23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540" w:type="dxa"/>
            <w:vAlign w:val="bottom"/>
          </w:tcPr>
          <w:p>
            <w:pPr>
              <w:ind w:left="1840"/>
              <w:spacing w:after="0"/>
              <w:rPr>
                <w:sz w:val="20"/>
                <w:szCs w:val="20"/>
                <w:color w:val="auto"/>
              </w:rPr>
            </w:pPr>
            <w:r>
              <w:rPr>
                <w:rFonts w:ascii="Arial" w:cs="Arial" w:eastAsia="Arial" w:hAnsi="Arial"/>
                <w:sz w:val="18"/>
                <w:szCs w:val="18"/>
                <w:color w:val="auto"/>
              </w:rPr>
              <w:t>on file with the Depositary, must be forwarded with this ADR.</w:t>
            </w:r>
          </w:p>
        </w:tc>
        <w:tc>
          <w:tcPr>
            <w:tcW w:w="0" w:type="dxa"/>
            <w:vAlign w:val="bottom"/>
          </w:tcPr>
          <w:p>
            <w:pPr>
              <w:spacing w:after="0"/>
              <w:rPr>
                <w:sz w:val="1"/>
                <w:szCs w:val="1"/>
                <w:color w:val="auto"/>
              </w:rPr>
            </w:pPr>
          </w:p>
        </w:tc>
      </w:tr>
      <w:tr>
        <w:trPr>
          <w:trHeight w:val="202"/>
        </w:trPr>
        <w:tc>
          <w:tcPr>
            <w:tcW w:w="3880" w:type="dxa"/>
            <w:vAlign w:val="bottom"/>
            <w:vMerge w:val="continue"/>
          </w:tcPr>
          <w:p>
            <w:pPr>
              <w:spacing w:after="0"/>
              <w:rPr>
                <w:sz w:val="17"/>
                <w:szCs w:val="17"/>
                <w:color w:val="auto"/>
              </w:rPr>
            </w:pPr>
          </w:p>
        </w:tc>
        <w:tc>
          <w:tcPr>
            <w:tcW w:w="7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SIGNATURE GUARANTEED</w:t>
            </w:r>
          </w:p>
        </w:tc>
        <w:tc>
          <w:tcPr>
            <w:tcW w:w="7540" w:type="dxa"/>
            <w:vAlign w:val="bottom"/>
            <w:vMerge w:val="restart"/>
          </w:tcPr>
          <w:p>
            <w:pPr>
              <w:ind w:left="1840"/>
              <w:spacing w:after="0"/>
              <w:rPr>
                <w:sz w:val="20"/>
                <w:szCs w:val="20"/>
                <w:color w:val="auto"/>
              </w:rPr>
            </w:pPr>
            <w:r>
              <w:rPr>
                <w:rFonts w:ascii="Arial" w:cs="Arial" w:eastAsia="Arial" w:hAnsi="Arial"/>
                <w:sz w:val="18"/>
                <w:szCs w:val="18"/>
                <w:color w:val="auto"/>
                <w:w w:val="89"/>
              </w:rPr>
              <w:t>All endorsements or assignments of ADRs must be guaranteed by a member of</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7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 Medallion Signature Program approved by the Securities Transfer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7540" w:type="dxa"/>
            <w:vAlign w:val="bottom"/>
          </w:tcPr>
          <w:p>
            <w:pPr>
              <w:ind w:left="152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ADRs issued in respect of Partial Entitlement American Depositary Shares shall bear the following legend on the face of the ADR: “This ADR evidences ADSs representing 'partial entitlement' Shares of Mereo BioPharma Group plc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w:t>
      </w:r>
    </w:p>
    <w:p>
      <w:pPr>
        <w:spacing w:after="0" w:line="22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are payable under the terms of the Deposit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By Whom Paid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 Issuance of ADSs (</w:t>
            </w:r>
            <w:r>
              <w:rPr>
                <w:rFonts w:ascii="Arial" w:cs="Arial" w:eastAsia="Arial" w:hAnsi="Arial"/>
                <w:sz w:val="18"/>
                <w:szCs w:val="18"/>
                <w:i w:val="1"/>
                <w:iCs w:val="1"/>
                <w:color w:val="auto"/>
              </w:rPr>
              <w:t>e.g.</w:t>
            </w:r>
            <w:r>
              <w:rPr>
                <w:rFonts w:ascii="Arial" w:cs="Arial" w:eastAsia="Arial" w:hAnsi="Arial"/>
                <w:sz w:val="18"/>
                <w:szCs w:val="18"/>
                <w:color w:val="auto"/>
              </w:rPr>
              <w:t>, an issuance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deposit of Shares, upon a change in the ADS(s)-to-</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Share(s) ratio, or for any other reason), excluding</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issuances as a result of distributions described in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paragraph (4) below.</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 Cancellation of ADSs (</w:t>
            </w:r>
            <w:r>
              <w:rPr>
                <w:rFonts w:ascii="Arial" w:cs="Arial" w:eastAsia="Arial" w:hAnsi="Arial"/>
                <w:sz w:val="18"/>
                <w:szCs w:val="18"/>
                <w:i w:val="1"/>
                <w:iCs w:val="1"/>
                <w:color w:val="auto"/>
              </w:rPr>
              <w:t>e.g.</w:t>
            </w:r>
            <w:r>
              <w:rPr>
                <w:rFonts w:ascii="Arial" w:cs="Arial" w:eastAsia="Arial" w:hAnsi="Arial"/>
                <w:sz w:val="18"/>
                <w:szCs w:val="18"/>
                <w:color w:val="auto"/>
              </w:rPr>
              <w:t>, a cancellation of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ADSs for Delivery of deposited Shares,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change in the ADS(s)-to-Share(s) ratio, or for any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reason).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Distribution of cash dividends or other cash</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distributions (</w:t>
            </w:r>
            <w:r>
              <w:rPr>
                <w:rFonts w:ascii="Arial" w:cs="Arial" w:eastAsia="Arial" w:hAnsi="Arial"/>
                <w:sz w:val="18"/>
                <w:szCs w:val="18"/>
                <w:i w:val="1"/>
                <w:iCs w:val="1"/>
                <w:color w:val="auto"/>
                <w:w w:val="97"/>
              </w:rPr>
              <w:t>e.g.</w:t>
            </w:r>
            <w:r>
              <w:rPr>
                <w:rFonts w:ascii="Arial" w:cs="Arial" w:eastAsia="Arial" w:hAnsi="Arial"/>
                <w:sz w:val="18"/>
                <w:szCs w:val="18"/>
                <w:color w:val="auto"/>
                <w:w w:val="97"/>
              </w:rPr>
              <w:t>, upon a sale of rights and other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entitlements).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Distribution of ADSs pursuant to (i) stock</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dividends or other free stock distributions, or (ii) an</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of rights to purchase additional ADSs.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Distribution of securities other than ADSs or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rights to purchase additional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spin-off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 ADS Services.</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Person holding ADSs on the applicable record</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 on the applicable record date(s)</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660" w:right="3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70" w:lineRule="exact"/>
        <w:rPr>
          <w:rFonts w:ascii="Arial" w:cs="Arial" w:eastAsia="Arial" w:hAnsi="Arial"/>
          <w:sz w:val="18"/>
          <w:szCs w:val="18"/>
          <w:color w:val="auto"/>
        </w:rPr>
      </w:pPr>
    </w:p>
    <w:p>
      <w:pPr>
        <w:jc w:val="center"/>
        <w:ind w:left="5580" w:hanging="5572"/>
        <w:spacing w:after="0" w:line="528" w:lineRule="auto"/>
        <w:tabs>
          <w:tab w:leader="none" w:pos="6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1"/>
    </w:lvl>
    <w:lvl w:ilvl="1">
      <w:lvlJc w:val="left"/>
      <w:lvlText w:val="(%2)"/>
      <w:numFmt w:val="lowerLetter"/>
      <w:start w:val="2"/>
    </w:lvl>
  </w:abstractNum>
  <w:abstractNum w:abstractNumId="6">
    <w:nsid w:val="4516DDE9"/>
    <w:multiLevelType w:val="hybridMultilevel"/>
    <w:lvl w:ilvl="0">
      <w:lvlJc w:val="left"/>
      <w:lvlText w:val="(%1)"/>
      <w:numFmt w:val="lowerLetter"/>
      <w:start w:val="35"/>
    </w:lvl>
    <w:lvl w:ilvl="1">
      <w:lvlJc w:val="left"/>
      <w:lvlText w:val="(%2)"/>
      <w:numFmt w:val="lowerLetter"/>
      <w:start w:val="3"/>
    </w:lvl>
  </w:abstractNum>
  <w:abstractNum w:abstractNumId="7">
    <w:nsid w:val="3006C83E"/>
    <w:multiLevelType w:val="hybridMultilevel"/>
    <w:lvl w:ilvl="0">
      <w:lvlJc w:val="left"/>
      <w:lvlText w:val="%1"/>
      <w:numFmt w:val="lowerLetter"/>
      <w:start w:val="1"/>
    </w:lvl>
    <w:lvl w:ilvl="1">
      <w:lvlJc w:val="left"/>
      <w:lvlText w:val="(%2)"/>
      <w:numFmt w:val="lowerLetter"/>
      <w:start w:val="1"/>
    </w:lvl>
  </w:abstractNum>
  <w:abstractNum w:abstractNumId="8">
    <w:nsid w:val="614FD4A1"/>
    <w:multiLevelType w:val="hybridMultilevel"/>
    <w:lvl w:ilvl="0">
      <w:lvlJc w:val="left"/>
      <w:lvlText w:val="(%1)"/>
      <w:numFmt w:val="lowerLetter"/>
      <w:start w:val="26"/>
    </w:lvl>
    <w:lvl w:ilvl="1">
      <w:lvlJc w:val="left"/>
      <w:lvlText w:val="%2"/>
      <w:numFmt w:val="lowerLetter"/>
      <w:start w:val="1"/>
    </w:lvl>
  </w:abstractNum>
  <w:abstractNum w:abstractNumId="9">
    <w:nsid w:val="419AC241"/>
    <w:multiLevelType w:val="hybridMultilevel"/>
    <w:lvl w:ilvl="0">
      <w:lvlJc w:val="left"/>
      <w:lvlText w:val="(%1)"/>
      <w:numFmt w:val="lowerLetter"/>
      <w:start w:val="35"/>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3"/>
    </w:lvl>
  </w:abstractNum>
  <w:abstractNum w:abstractNumId="13">
    <w:nsid w:val="3804823E"/>
    <w:multiLevelType w:val="hybridMultilevel"/>
    <w:lvl w:ilvl="0">
      <w:lvlJc w:val="left"/>
      <w:lvlText w:val="(%1)"/>
      <w:numFmt w:val="lowerRoman"/>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lowerRoman"/>
      <w:start w:val="5"/>
    </w:lvl>
  </w:abstractNum>
  <w:abstractNum w:abstractNumId="16">
    <w:nsid w:val="5C482A97"/>
    <w:multiLevelType w:val="hybridMultilevel"/>
    <w:lvl w:ilvl="0">
      <w:lvlJc w:val="left"/>
      <w:lvlText w:val="%1"/>
      <w:numFmt w:val="lowerLetter"/>
      <w:start w:val="1"/>
    </w:lvl>
    <w:lvl w:ilvl="1">
      <w:lvlJc w:val="left"/>
      <w:lvlText w:val="(%2)"/>
      <w:numFmt w:val="lowerLetter"/>
      <w:start w:val="1"/>
    </w:lvl>
  </w:abstractNum>
  <w:abstractNum w:abstractNumId="17">
    <w:nsid w:val="2463B9EA"/>
    <w:multiLevelType w:val="hybridMultilevel"/>
    <w:lvl w:ilvl="0">
      <w:lvlJc w:val="left"/>
      <w:lvlText w:val="(%1)"/>
      <w:numFmt w:val="lowerLetter"/>
      <w:start w:val="35"/>
    </w:lvl>
    <w:lvl w:ilvl="1">
      <w:lvlJc w:val="left"/>
      <w:lvlText w:val="(%2)"/>
      <w:numFmt w:val="lowerLetter"/>
      <w:start w:val="2"/>
    </w:lvl>
  </w:abstractNum>
  <w:abstractNum w:abstractNumId="18">
    <w:nsid w:val="5E884ADC"/>
    <w:multiLevelType w:val="hybridMultilevel"/>
    <w:lvl w:ilvl="0">
      <w:lvlJc w:val="left"/>
      <w:lvlText w:val="(%1)"/>
      <w:numFmt w:val="lowerLetter"/>
      <w:start w:val="3"/>
    </w:lvl>
  </w:abstractNum>
  <w:abstractNum w:abstractNumId="19">
    <w:nsid w:val="51EAD36B"/>
    <w:multiLevelType w:val="hybridMultilevel"/>
    <w:lvl w:ilvl="0">
      <w:lvlJc w:val="left"/>
      <w:lvlText w:val="%1"/>
      <w:numFmt w:val="lowerLetter"/>
      <w:start w:val="1"/>
    </w:lvl>
    <w:lvl w:ilvl="1">
      <w:lvlJc w:val="left"/>
      <w:lvlText w:val="(%2)"/>
      <w:numFmt w:val="lowerLetter"/>
      <w:start w:val="1"/>
    </w:lvl>
  </w:abstractNum>
  <w:abstractNum w:abstractNumId="20">
    <w:nsid w:val="2D517796"/>
    <w:multiLevelType w:val="hybridMultilevel"/>
    <w:lvl w:ilvl="0">
      <w:lvlJc w:val="left"/>
      <w:lvlText w:val="(%1)"/>
      <w:numFmt w:val="lowerLetter"/>
      <w:start w:val="2"/>
    </w:lvl>
    <w:lvl w:ilvl="1">
      <w:lvlJc w:val="left"/>
      <w:lvlText w:val="(%2)"/>
      <w:numFmt w:val="lowerLetter"/>
      <w:start w:val="4"/>
    </w:lvl>
  </w:abstractNum>
  <w:abstractNum w:abstractNumId="21">
    <w:nsid w:val="580BD78F"/>
    <w:multiLevelType w:val="hybridMultilevel"/>
    <w:lvl w:ilvl="0">
      <w:lvlJc w:val="left"/>
      <w:lvlText w:val="(%1)"/>
      <w:numFmt w:val="lowerRoman"/>
      <w:start w:val="4"/>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Roman"/>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2"/>
    </w:lvl>
  </w:abstractNum>
  <w:abstractNum w:abstractNumId="27">
    <w:nsid w:val="1D4ED43B"/>
    <w:multiLevelType w:val="hybridMultilevel"/>
    <w:lvl w:ilvl="0">
      <w:lvlJc w:val="left"/>
      <w:lvlText w:val="(%1)"/>
      <w:numFmt w:val="decimal"/>
      <w:start w:val="3"/>
    </w:lvl>
  </w:abstractNum>
  <w:abstractNum w:abstractNumId="28">
    <w:nsid w:val="725A06FB"/>
    <w:multiLevelType w:val="hybridMultilevel"/>
    <w:lvl w:ilvl="0">
      <w:lvlJc w:val="left"/>
      <w:lvlText w:val="(%1)"/>
      <w:numFmt w:val="decimal"/>
      <w:start w:val="4"/>
    </w:lvl>
  </w:abstractNum>
  <w:abstractNum w:abstractNumId="29">
    <w:nsid w:val="2CD89A32"/>
    <w:multiLevelType w:val="hybridMultilevel"/>
    <w:lvl w:ilvl="0">
      <w:lvlJc w:val="left"/>
      <w:lvlText w:val="(%1)"/>
      <w:numFmt w:val="decimal"/>
      <w:start w:val="5"/>
    </w:lvl>
  </w:abstractNum>
  <w:abstractNum w:abstractNumId="30">
    <w:nsid w:val="57E4CCAF"/>
    <w:multiLevelType w:val="hybridMultilevel"/>
    <w:lvl w:ilvl="0">
      <w:lvlJc w:val="left"/>
      <w:lvlText w:val="(%1)"/>
      <w:numFmt w:val="decimal"/>
      <w:start w:val="7"/>
    </w:lvl>
  </w:abstractNum>
  <w:abstractNum w:abstractNumId="31">
    <w:nsid w:val="7A6D8D3C"/>
    <w:multiLevelType w:val="hybridMultilevel"/>
    <w:lvl w:ilvl="0">
      <w:lvlJc w:val="left"/>
      <w:lvlText w:val="(%1)"/>
      <w:numFmt w:val="decimal"/>
      <w:start w:val="10"/>
    </w:lvl>
    <w:lvl w:ilvl="1">
      <w:lvlJc w:val="left"/>
      <w:lvlText w:val="(%2)"/>
      <w:numFmt w:val="lowerRoman"/>
      <w:start w:val="1"/>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4"/>
    </w:lvl>
  </w:abstractNum>
  <w:abstractNum w:abstractNumId="35">
    <w:nsid w:val="38437FDB"/>
    <w:multiLevelType w:val="hybridMultilevel"/>
    <w:lvl w:ilvl="0">
      <w:lvlJc w:val="left"/>
      <w:lvlText w:val="(%1)"/>
      <w:numFmt w:val="decimal"/>
      <w:start w:val="12"/>
    </w:lvl>
  </w:abstractNum>
  <w:abstractNum w:abstractNumId="36">
    <w:nsid w:val="7644A45C"/>
    <w:multiLevelType w:val="hybridMultilevel"/>
    <w:lvl w:ilvl="0">
      <w:lvlJc w:val="left"/>
      <w:lvlText w:val="(%1)"/>
      <w:numFmt w:val="decimal"/>
      <w:start w:val="14"/>
    </w:lvl>
  </w:abstractNum>
  <w:abstractNum w:abstractNumId="37">
    <w:nsid w:val="32FFF902"/>
    <w:multiLevelType w:val="hybridMultilevel"/>
    <w:lvl w:ilvl="0">
      <w:lvlJc w:val="left"/>
      <w:lvlText w:val="(%1)"/>
      <w:numFmt w:val="decimal"/>
      <w:start w:val="15"/>
    </w:lvl>
  </w:abstractNum>
  <w:abstractNum w:abstractNumId="38">
    <w:nsid w:val="684A481A"/>
    <w:multiLevelType w:val="hybridMultilevel"/>
    <w:lvl w:ilvl="0">
      <w:lvlJc w:val="left"/>
      <w:lvlText w:val="(%1)"/>
      <w:numFmt w:val="lowerLetter"/>
      <w:start w:val="2"/>
    </w:lvl>
  </w:abstractNum>
  <w:abstractNum w:abstractNumId="39">
    <w:nsid w:val="579478FE"/>
    <w:multiLevelType w:val="hybridMultilevel"/>
    <w:lvl w:ilvl="0">
      <w:lvlJc w:val="left"/>
      <w:lvlText w:val="(%1)"/>
      <w:numFmt w:val="lowerLetter"/>
      <w:start w:val="3"/>
    </w:lvl>
  </w:abstractNum>
  <w:abstractNum w:abstractNumId="40">
    <w:nsid w:val="749ABB43"/>
    <w:multiLevelType w:val="hybridMultilevel"/>
    <w:lvl w:ilvl="0">
      <w:lvlJc w:val="left"/>
      <w:lvlText w:val="%1"/>
      <w:numFmt w:val="lowerLetter"/>
      <w:start w:val="1"/>
    </w:lvl>
    <w:lvl w:ilvl="1">
      <w:lvlJc w:val="left"/>
      <w:lvlText w:val="(%2)"/>
      <w:numFmt w:val="lowerLetter"/>
      <w:start w:val="4"/>
    </w:lvl>
  </w:abstractNum>
  <w:abstractNum w:abstractNumId="41">
    <w:nsid w:val="3DC240FB"/>
    <w:multiLevelType w:val="hybridMultilevel"/>
    <w:lvl w:ilvl="0">
      <w:lvlJc w:val="left"/>
      <w:lvlText w:val="(%1)"/>
      <w:numFmt w:val="lowerLetter"/>
      <w:start w:val="61"/>
    </w:lvl>
    <w:lvl w:ilvl="1">
      <w:lvlJc w:val="left"/>
      <w:lvlText w:val="%2"/>
      <w:numFmt w:val="lowerLetter"/>
      <w:start w:val="1"/>
    </w:lvl>
  </w:abstractNum>
  <w:abstractNum w:abstractNumId="42">
    <w:nsid w:val="1BA026FA"/>
    <w:multiLevelType w:val="hybridMultilevel"/>
    <w:lvl w:ilvl="0">
      <w:lvlJc w:val="left"/>
      <w:lvlText w:val="(%1)"/>
      <w:numFmt w:val="lowerLetter"/>
      <w:start w:val="5"/>
    </w:lvl>
  </w:abstractNum>
  <w:abstractNum w:abstractNumId="43">
    <w:nsid w:val="79A1DEAA"/>
    <w:multiLevelType w:val="hybridMultilevel"/>
    <w:lvl w:ilvl="0">
      <w:lvlJc w:val="left"/>
      <w:lvlText w:val="(%1)"/>
      <w:numFmt w:val="lowerRoman"/>
      <w:start w:val="1"/>
    </w:lvl>
  </w:abstractNum>
  <w:abstractNum w:abstractNumId="44">
    <w:nsid w:val="75C6C33A"/>
    <w:multiLevelType w:val="hybridMultilevel"/>
    <w:lvl w:ilvl="0">
      <w:lvlJc w:val="left"/>
      <w:lvlText w:val="(%1)"/>
      <w:numFmt w:val="decimal"/>
      <w:start w:val="16"/>
    </w:lvl>
  </w:abstractNum>
  <w:abstractNum w:abstractNumId="45">
    <w:nsid w:val="12E685FB"/>
    <w:multiLevelType w:val="hybridMultilevel"/>
    <w:lvl w:ilvl="0">
      <w:lvlJc w:val="left"/>
      <w:lvlText w:val="(%1)"/>
      <w:numFmt w:val="decimal"/>
      <w:start w:val="17"/>
    </w:lvl>
  </w:abstractNum>
  <w:abstractNum w:abstractNumId="46">
    <w:nsid w:val="70C6A529"/>
    <w:multiLevelType w:val="hybridMultilevel"/>
    <w:lvl w:ilvl="0">
      <w:lvlJc w:val="left"/>
      <w:lvlText w:val="(%1)"/>
      <w:numFmt w:val="decimal"/>
      <w:start w:val="18"/>
    </w:lvl>
  </w:abstractNum>
  <w:abstractNum w:abstractNumId="47">
    <w:nsid w:val="520EEDD1"/>
    <w:multiLevelType w:val="hybridMultilevel"/>
    <w:lvl w:ilvl="0">
      <w:lvlJc w:val="left"/>
      <w:lvlText w:val="(%1)"/>
      <w:numFmt w:val="decimal"/>
      <w:start w:val="19"/>
    </w:lvl>
  </w:abstractNum>
  <w:abstractNum w:abstractNumId="48">
    <w:nsid w:val="374A3FE6"/>
    <w:multiLevelType w:val="hybridMultilevel"/>
    <w:lvl w:ilvl="0">
      <w:lvlJc w:val="left"/>
      <w:lvlText w:val="(%1)"/>
      <w:numFmt w:val="decimal"/>
      <w:start w:val="20"/>
    </w:lvl>
  </w:abstractNum>
  <w:abstractNum w:abstractNumId="49">
    <w:nsid w:val="4F4EF005"/>
    <w:multiLevelType w:val="hybridMultilevel"/>
    <w:lvl w:ilvl="0">
      <w:lvlJc w:val="left"/>
      <w:lvlText w:val="(%1)"/>
      <w:numFmt w:val="decimal"/>
      <w:start w:val="21"/>
    </w:lvl>
  </w:abstractNum>
  <w:abstractNum w:abstractNumId="50">
    <w:nsid w:val="23F9C13C"/>
    <w:multiLevelType w:val="hybridMultilevel"/>
    <w:lvl w:ilvl="0">
      <w:lvlJc w:val="left"/>
      <w:lvlText w:val="(%1)"/>
      <w:numFmt w:val="decimal"/>
      <w:start w:val="22"/>
    </w:lvl>
  </w:abstractNum>
  <w:abstractNum w:abstractNumId="51">
    <w:nsid w:val="649BB77C"/>
    <w:multiLevelType w:val="hybridMultilevel"/>
    <w:lvl w:ilvl="0">
      <w:lvlJc w:val="left"/>
      <w:lvlText w:val="(%1)"/>
      <w:numFmt w:val="decimal"/>
      <w:start w:val="23"/>
    </w:lvl>
  </w:abstractNum>
  <w:abstractNum w:abstractNumId="52">
    <w:nsid w:val="275AC794"/>
    <w:multiLevelType w:val="hybridMultilevel"/>
    <w:lvl w:ilvl="0">
      <w:lvlJc w:val="left"/>
      <w:lvlText w:val="(%1)"/>
      <w:numFmt w:val="decimal"/>
      <w:start w:val="24"/>
    </w:lvl>
  </w:abstractNum>
  <w:abstractNum w:abstractNumId="53">
    <w:nsid w:val="39386575"/>
    <w:multiLevelType w:val="hybridMultilevel"/>
    <w:lvl w:ilvl="0">
      <w:lvlJc w:val="left"/>
      <w:lvlText w:val="%1"/>
      <w:numFmt w:val="lowerLetter"/>
      <w:start w:val="1"/>
    </w:lvl>
    <w:lvl w:ilvl="1">
      <w:lvlJc w:val="left"/>
      <w:lvlText w:val="(%2)"/>
      <w:numFmt w:val="decimal"/>
      <w:start w:val="25"/>
    </w:lvl>
  </w:abstractNum>
  <w:abstractNum w:abstractNumId="54">
    <w:nsid w:val="1CF10FD8"/>
    <w:multiLevelType w:val="hybridMultilevel"/>
    <w:lvl w:ilvl="0">
      <w:lvlJc w:val="left"/>
      <w:lvlText w:val="(%1)"/>
      <w:numFmt w:val="lowerLetter"/>
      <w:start w:val="23"/>
    </w:lvl>
    <w:lvl w:ilvl="1">
      <w:lvlJc w:val="left"/>
      <w:lvlText w:val="%2"/>
      <w:numFmt w:val="decimal"/>
      <w:start w:val="1"/>
    </w:lvl>
  </w:abstractNum>
  <w:abstractNum w:abstractNumId="55">
    <w:nsid w:val="180115BE"/>
    <w:multiLevelType w:val="hybridMultilevel"/>
    <w:lvl w:ilvl="0">
      <w:lvlJc w:val="left"/>
      <w:lvlText w:val="(%1)"/>
      <w:numFmt w:val="decimal"/>
      <w:start w:val="27"/>
    </w:lvl>
  </w:abstractNum>
  <w:abstractNum w:abstractNumId="56">
    <w:nsid w:val="235BA861"/>
    <w:multiLevelType w:val="hybridMultilevel"/>
    <w:lvl w:ilvl="0">
      <w:lvlJc w:val="left"/>
      <w:lvlText w:val="%1."/>
      <w:numFmt w:val="upperLetter"/>
      <w:start w:val="9"/>
    </w:lvl>
  </w:abstractNum>
  <w:abstractNum w:abstractNumId="57">
    <w:nsid w:val="47398C89"/>
    <w:multiLevelType w:val="hybridMultilevel"/>
    <w:lvl w:ilvl="0">
      <w:lvlJc w:val="left"/>
      <w:lvlText w:val="%1."/>
      <w:numFmt w:val="upperLetter"/>
      <w:start w:val="35"/>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2019-12-19T01:15:56Z</dcterms:created>
  <dcterms:modified xsi:type="dcterms:W3CDTF">2019-12-19T01:15:56Z</dcterms:modified>
</cp:coreProperties>
</file>