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January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60"/>
        <w:spacing w:after="0" w:line="241"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11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**There is no CUSIP number assigned to the Ordinary Shares. The CUSIP number 589492107 has been assigned to the American Depositary Shares ("</w:t>
      </w:r>
      <w:r>
        <w:rPr>
          <w:rFonts w:ascii="Times New Roman" w:cs="Times New Roman" w:eastAsia="Times New Roman" w:hAnsi="Times New Roman"/>
          <w:sz w:val="20"/>
          <w:szCs w:val="20"/>
          <w:u w:val="single" w:color="auto"/>
          <w:color w:val="auto"/>
        </w:rPr>
        <w:t>ADSs</w:t>
      </w:r>
      <w:r>
        <w:rPr>
          <w:rFonts w:ascii="Times New Roman" w:cs="Times New Roman" w:eastAsia="Times New Roman" w:hAnsi="Times New Roman"/>
          <w:sz w:val="20"/>
          <w:szCs w:val="20"/>
          <w:color w:val="auto"/>
        </w:rPr>
        <w:t>") of the Company, which are quoted on Nasdaq under the symbol "MREO." Each ADS represents 5 Ordinary Shares.</w:t>
      </w:r>
    </w:p>
    <w:p>
      <w:pPr>
        <w:spacing w:after="0" w:line="147"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225" w:right="59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4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3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7"/>
              </w:rPr>
              <w:t>Adage Capital Management,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4" w:name="page5"/>
    <w:bookmarkEnd w:id="4"/>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50,250,000 (represented by 10,050,000 ADSs)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7.17%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22"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11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60" w:type="dxa"/>
            <w:vAlign w:val="bottom"/>
            <w:gridSpan w:val="19"/>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Mereo Biopharma Group Plc., (the “Company”).</w:t>
            </w:r>
          </w:p>
        </w:tc>
      </w:tr>
      <w:tr>
        <w:trPr>
          <w:trHeight w:val="20"/>
        </w:trPr>
        <w:tc>
          <w:tcPr>
            <w:tcW w:w="1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w w:val="98"/>
              </w:rPr>
              <w:t>The Company’s principal executive offices are located at 4th Floor, One Cavendish Place, London, W1G 0QF, United</w:t>
            </w:r>
          </w:p>
        </w:tc>
      </w:tr>
      <w:tr>
        <w:trPr>
          <w:trHeight w:val="258"/>
        </w:trPr>
        <w:tc>
          <w:tcPr>
            <w:tcW w:w="1260" w:type="dxa"/>
            <w:vAlign w:val="bottom"/>
          </w:tcPr>
          <w:p>
            <w:pPr>
              <w:spacing w:after="0"/>
              <w:rPr>
                <w:sz w:val="22"/>
                <w:szCs w:val="22"/>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4"/>
              </w:rPr>
              <w:t>Kingdom.</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58"/>
        </w:trPr>
        <w:tc>
          <w:tcPr>
            <w:tcW w:w="1260" w:type="dxa"/>
            <w:vAlign w:val="bottom"/>
          </w:tcPr>
          <w:p>
            <w:pPr>
              <w:spacing w:after="0"/>
              <w:rPr>
                <w:sz w:val="22"/>
                <w:szCs w:val="22"/>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Adage Capital Partners, L.P., a Delaware limited partnership (“ACP”) with respect to the Ordinary Shares</w:t>
            </w:r>
          </w:p>
        </w:tc>
      </w:tr>
      <w:tr>
        <w:trPr>
          <w:trHeight w:val="256"/>
        </w:trPr>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92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represented by ADSs directly owned by it;</w:t>
            </w:r>
          </w:p>
        </w:tc>
        <w:tc>
          <w:tcPr>
            <w:tcW w:w="340" w:type="dxa"/>
            <w:vAlign w:val="bottom"/>
            <w:tcBorders>
              <w:top w:val="single" w:sz="8" w:color="auto"/>
            </w:tcBorders>
          </w:tcPr>
          <w:p>
            <w:pPr>
              <w:spacing w:after="0"/>
              <w:rPr>
                <w:sz w:val="22"/>
                <w:szCs w:val="22"/>
                <w:color w:val="auto"/>
              </w:rPr>
            </w:pPr>
          </w:p>
        </w:tc>
        <w:tc>
          <w:tcPr>
            <w:tcW w:w="3280" w:type="dxa"/>
            <w:vAlign w:val="bottom"/>
            <w:gridSpan w:val="6"/>
          </w:tcPr>
          <w:p>
            <w:pPr>
              <w:spacing w:after="0"/>
              <w:rPr>
                <w:sz w:val="22"/>
                <w:szCs w:val="22"/>
                <w:color w:val="auto"/>
              </w:rPr>
            </w:pPr>
          </w:p>
        </w:tc>
      </w:tr>
      <w:tr>
        <w:trPr>
          <w:trHeight w:val="430"/>
        </w:trPr>
        <w:tc>
          <w:tcPr>
            <w:tcW w:w="12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w:t>
            </w:r>
          </w:p>
        </w:tc>
      </w:tr>
      <w:tr>
        <w:trPr>
          <w:trHeight w:val="212"/>
        </w:trPr>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54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w w:val="99"/>
              </w:rPr>
              <w:t>Delaware (“ACPGP”), as general partner of ACP with respect to the Ordinary Shares represented by ADSs</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directly owned by ACP;</w:t>
            </w:r>
          </w:p>
        </w:tc>
      </w:tr>
      <w:tr>
        <w:trPr>
          <w:trHeight w:val="413"/>
        </w:trPr>
        <w:tc>
          <w:tcPr>
            <w:tcW w:w="12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(iii)</w:t>
            </w: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Adage Capital Management, L.P., a Delaware limited partnership (“ACM”), as the investment manager of</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ACP, with respect to the Ordinary Shares represented by ADSs directly owned by ACP;</w:t>
            </w:r>
          </w:p>
        </w:tc>
      </w:tr>
      <w:tr>
        <w:trPr>
          <w:trHeight w:val="413"/>
        </w:trPr>
        <w:tc>
          <w:tcPr>
            <w:tcW w:w="12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(iv)</w:t>
            </w: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8"/>
              </w:rPr>
              <w:t>Robert Atchinson (“Mr. Atchinson”), as (1) managing member of Adage Capital Advisors, L.L.C., a limited</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540" w:type="dxa"/>
            <w:vAlign w:val="bottom"/>
            <w:gridSpan w:val="18"/>
          </w:tcPr>
          <w:p>
            <w:pPr>
              <w:spacing w:after="0" w:line="209" w:lineRule="exact"/>
              <w:rPr>
                <w:sz w:val="20"/>
                <w:szCs w:val="20"/>
                <w:color w:val="auto"/>
              </w:rPr>
            </w:pPr>
            <w:r>
              <w:rPr>
                <w:rFonts w:ascii="Times New Roman" w:cs="Times New Roman" w:eastAsia="Times New Roman" w:hAnsi="Times New Roman"/>
                <w:sz w:val="20"/>
                <w:szCs w:val="20"/>
                <w:color w:val="auto"/>
                <w:w w:val="97"/>
              </w:rPr>
              <w:t>liability company organized under the laws of the State of Delaware (“ACA”), managing member of ACPGP</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54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rPr>
              <w:t>and (2) managing member of Adage Capital Partners LLC, a Delaware limited liability company</w:t>
            </w:r>
          </w:p>
        </w:tc>
      </w:tr>
      <w:tr>
        <w:trPr>
          <w:trHeight w:val="212"/>
        </w:trPr>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540" w:type="dxa"/>
            <w:vAlign w:val="bottom"/>
            <w:gridSpan w:val="18"/>
          </w:tcPr>
          <w:p>
            <w:pPr>
              <w:spacing w:after="0" w:line="212" w:lineRule="exact"/>
              <w:rPr>
                <w:sz w:val="20"/>
                <w:szCs w:val="20"/>
                <w:color w:val="auto"/>
              </w:rPr>
            </w:pPr>
            <w:r>
              <w:rPr>
                <w:rFonts w:ascii="Times New Roman" w:cs="Times New Roman" w:eastAsia="Times New Roman" w:hAnsi="Times New Roman"/>
                <w:sz w:val="20"/>
                <w:szCs w:val="20"/>
                <w:color w:val="auto"/>
              </w:rPr>
              <w:t>(“ACPLLC”), general partner of ACM, with respect to the Ordinary Shares represented by ADSs directly</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owned by ACP; and</w:t>
            </w:r>
          </w:p>
        </w:tc>
      </w:tr>
      <w:tr>
        <w:trPr>
          <w:trHeight w:val="412"/>
        </w:trPr>
        <w:tc>
          <w:tcPr>
            <w:tcW w:w="126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(v)</w:t>
            </w: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Phillip Gross (“Mr. Gross”), as (1) managing member of ACA, managing member of ACPGP and (2)</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540" w:type="dxa"/>
            <w:vAlign w:val="bottom"/>
            <w:gridSpan w:val="18"/>
          </w:tcPr>
          <w:p>
            <w:pPr>
              <w:spacing w:after="0" w:line="228" w:lineRule="exact"/>
              <w:rPr>
                <w:sz w:val="20"/>
                <w:szCs w:val="20"/>
                <w:color w:val="auto"/>
              </w:rPr>
            </w:pPr>
            <w:r>
              <w:rPr>
                <w:rFonts w:ascii="Times New Roman" w:cs="Times New Roman" w:eastAsia="Times New Roman" w:hAnsi="Times New Roman"/>
                <w:sz w:val="20"/>
                <w:szCs w:val="20"/>
                <w:color w:val="auto"/>
                <w:w w:val="97"/>
              </w:rPr>
              <w:t>managing member of ACPLLC, general partner of ACM, with respect to the Ordinary Shares represented by</w:t>
            </w:r>
          </w:p>
        </w:tc>
      </w:tr>
      <w:tr>
        <w:trPr>
          <w:trHeight w:val="258"/>
        </w:trPr>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5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ADSs directly owned by ACP.</w:t>
            </w:r>
          </w:p>
        </w:tc>
      </w:tr>
      <w:tr>
        <w:trPr>
          <w:trHeight w:val="413"/>
        </w:trPr>
        <w:tc>
          <w:tcPr>
            <w:tcW w:w="1260" w:type="dxa"/>
            <w:vAlign w:val="bottom"/>
          </w:tcPr>
          <w:p>
            <w:pPr>
              <w:spacing w:after="0"/>
              <w:rPr>
                <w:sz w:val="24"/>
                <w:szCs w:val="24"/>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w w:val="9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60" w:type="dxa"/>
            <w:vAlign w:val="bottom"/>
            <w:gridSpan w:val="19"/>
          </w:tcPr>
          <w:p>
            <w:pPr>
              <w:ind w:left="440"/>
              <w:spacing w:after="0" w:line="228" w:lineRule="exact"/>
              <w:rPr>
                <w:sz w:val="20"/>
                <w:szCs w:val="20"/>
                <w:color w:val="auto"/>
              </w:rPr>
            </w:pPr>
            <w:r>
              <w:rPr>
                <w:rFonts w:ascii="Times New Roman" w:cs="Times New Roman" w:eastAsia="Times New Roman" w:hAnsi="Times New Roman"/>
                <w:sz w:val="20"/>
                <w:szCs w:val="20"/>
                <w:color w:val="auto"/>
              </w:rPr>
              <w:t>herein with respect to persons other than the Reporting Persons are made on information and belief after making</w:t>
            </w:r>
          </w:p>
        </w:tc>
      </w:tr>
      <w:tr>
        <w:trPr>
          <w:trHeight w:val="258"/>
        </w:trPr>
        <w:tc>
          <w:tcPr>
            <w:tcW w:w="1260" w:type="dxa"/>
            <w:vAlign w:val="bottom"/>
          </w:tcPr>
          <w:p>
            <w:pPr>
              <w:spacing w:after="0"/>
              <w:rPr>
                <w:sz w:val="22"/>
                <w:szCs w:val="22"/>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inquiry to the appropriate party.</w:t>
            </w:r>
          </w:p>
        </w:tc>
      </w:tr>
      <w:tr>
        <w:trPr>
          <w:trHeight w:val="430"/>
        </w:trPr>
        <w:tc>
          <w:tcPr>
            <w:tcW w:w="1260" w:type="dxa"/>
            <w:vAlign w:val="bottom"/>
          </w:tcPr>
          <w:p>
            <w:pPr>
              <w:spacing w:after="0"/>
              <w:rPr>
                <w:sz w:val="24"/>
                <w:szCs w:val="24"/>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w:t>
            </w:r>
          </w:p>
        </w:tc>
      </w:tr>
      <w:tr>
        <w:trPr>
          <w:trHeight w:val="258"/>
        </w:trPr>
        <w:tc>
          <w:tcPr>
            <w:tcW w:w="1260" w:type="dxa"/>
            <w:vAlign w:val="bottom"/>
          </w:tcPr>
          <w:p>
            <w:pPr>
              <w:spacing w:after="0"/>
              <w:rPr>
                <w:sz w:val="22"/>
                <w:szCs w:val="22"/>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beneficial ownership of the securities reported herein.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w:t>
            </w:r>
          </w:p>
        </w:tc>
      </w:tr>
      <w:tr>
        <w:trPr>
          <w:trHeight w:val="258"/>
        </w:trPr>
        <w:tc>
          <w:tcPr>
            <w:tcW w:w="1260" w:type="dxa"/>
            <w:vAlign w:val="bottom"/>
          </w:tcPr>
          <w:p>
            <w:pPr>
              <w:spacing w:after="0"/>
              <w:rPr>
                <w:sz w:val="22"/>
                <w:szCs w:val="22"/>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Massachusetts 02116.</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ACP and ACM are limited partnerships organized under the laws of the State of Delaware. ACPGP is a limited</w:t>
            </w:r>
          </w:p>
        </w:tc>
      </w:tr>
      <w:tr>
        <w:trPr>
          <w:trHeight w:val="230"/>
        </w:trPr>
        <w:tc>
          <w:tcPr>
            <w:tcW w:w="1260" w:type="dxa"/>
            <w:vAlign w:val="bottom"/>
          </w:tcPr>
          <w:p>
            <w:pPr>
              <w:spacing w:after="0"/>
              <w:rPr>
                <w:sz w:val="19"/>
                <w:szCs w:val="19"/>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w w:val="99"/>
              </w:rPr>
              <w:t>liability company organized under the laws of the State of Delaware. Messrs. Gross and Atchinson are citizens of the</w:t>
            </w:r>
          </w:p>
        </w:tc>
      </w:tr>
      <w:tr>
        <w:trPr>
          <w:trHeight w:val="258"/>
        </w:trPr>
        <w:tc>
          <w:tcPr>
            <w:tcW w:w="1260" w:type="dxa"/>
            <w:vAlign w:val="bottom"/>
          </w:tcPr>
          <w:p>
            <w:pPr>
              <w:spacing w:after="0"/>
              <w:rPr>
                <w:sz w:val="22"/>
                <w:szCs w:val="22"/>
                <w:color w:val="auto"/>
              </w:rPr>
            </w:pP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60" w:type="dxa"/>
            <w:vAlign w:val="bottom"/>
            <w:gridSpan w:val="19"/>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12"/>
        </w:trPr>
        <w:tc>
          <w:tcPr>
            <w:tcW w:w="1260" w:type="dxa"/>
            <w:vAlign w:val="bottom"/>
          </w:tcPr>
          <w:p>
            <w:pPr>
              <w:spacing w:after="0"/>
              <w:rPr>
                <w:sz w:val="18"/>
                <w:szCs w:val="18"/>
                <w:color w:val="auto"/>
              </w:rPr>
            </w:pPr>
          </w:p>
        </w:tc>
        <w:tc>
          <w:tcPr>
            <w:tcW w:w="9760" w:type="dxa"/>
            <w:vAlign w:val="bottom"/>
            <w:gridSpan w:val="19"/>
          </w:tcPr>
          <w:p>
            <w:pPr>
              <w:ind w:left="440"/>
              <w:spacing w:after="0" w:line="212" w:lineRule="exact"/>
              <w:rPr>
                <w:sz w:val="20"/>
                <w:szCs w:val="20"/>
                <w:color w:val="auto"/>
              </w:rPr>
            </w:pPr>
            <w:r>
              <w:rPr>
                <w:rFonts w:ascii="Times New Roman" w:cs="Times New Roman" w:eastAsia="Times New Roman" w:hAnsi="Times New Roman"/>
                <w:sz w:val="20"/>
                <w:szCs w:val="20"/>
                <w:color w:val="auto"/>
              </w:rPr>
              <w:t>Ordinary Shares, par value £0.0003 per share (the “Ordinary Shares”).</w:t>
            </w:r>
          </w:p>
        </w:tc>
      </w:tr>
      <w:tr>
        <w:trPr>
          <w:trHeight w:val="20"/>
        </w:trPr>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11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2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29"/>
        </w:trPr>
        <w:tc>
          <w:tcPr>
            <w:tcW w:w="1260" w:type="dxa"/>
            <w:vAlign w:val="bottom"/>
          </w:tcPr>
          <w:p>
            <w:pPr>
              <w:spacing w:after="0"/>
              <w:rPr>
                <w:sz w:val="19"/>
                <w:szCs w:val="19"/>
                <w:color w:val="auto"/>
              </w:rPr>
            </w:pPr>
          </w:p>
        </w:tc>
        <w:tc>
          <w:tcPr>
            <w:tcW w:w="97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98"/>
              </w:rPr>
              <w:t>There is no CUSIP number assigned to the Ordinary Shares. The CUSIP number 589492107 has been assigned to the</w:t>
            </w:r>
          </w:p>
        </w:tc>
      </w:tr>
      <w:tr>
        <w:trPr>
          <w:trHeight w:val="212"/>
        </w:trPr>
        <w:tc>
          <w:tcPr>
            <w:tcW w:w="1260" w:type="dxa"/>
            <w:vAlign w:val="bottom"/>
          </w:tcPr>
          <w:p>
            <w:pPr>
              <w:spacing w:after="0"/>
              <w:rPr>
                <w:sz w:val="18"/>
                <w:szCs w:val="18"/>
                <w:color w:val="auto"/>
              </w:rPr>
            </w:pPr>
          </w:p>
        </w:tc>
        <w:tc>
          <w:tcPr>
            <w:tcW w:w="9720" w:type="dxa"/>
            <w:vAlign w:val="bottom"/>
            <w:gridSpan w:val="3"/>
          </w:tcPr>
          <w:p>
            <w:pPr>
              <w:ind w:left="440"/>
              <w:spacing w:after="0" w:line="212" w:lineRule="exact"/>
              <w:rPr>
                <w:sz w:val="20"/>
                <w:szCs w:val="20"/>
                <w:color w:val="auto"/>
              </w:rPr>
            </w:pPr>
            <w:r>
              <w:rPr>
                <w:rFonts w:ascii="Times New Roman" w:cs="Times New Roman" w:eastAsia="Times New Roman" w:hAnsi="Times New Roman"/>
                <w:sz w:val="20"/>
                <w:szCs w:val="20"/>
                <w:color w:val="auto"/>
              </w:rPr>
              <w:t>American Depositary Shares ("ADSs") of the Company, which are quoted on Nasdaq under the symbol "MREO."</w:t>
            </w:r>
          </w:p>
        </w:tc>
      </w:tr>
      <w:tr>
        <w:trPr>
          <w:trHeight w:val="20"/>
        </w:trPr>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72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Each ADS represents 5 Ordinary Shares.</w:t>
            </w:r>
          </w:p>
        </w:tc>
      </w:tr>
    </w:tbl>
    <w:p>
      <w:pPr>
        <w:spacing w:after="0" w:line="197" w:lineRule="exact"/>
        <w:rPr>
          <w:sz w:val="20"/>
          <w:szCs w:val="20"/>
          <w:color w:val="auto"/>
        </w:rPr>
      </w:pPr>
    </w:p>
    <w:p>
      <w:pPr>
        <w:ind w:left="1800" w:right="100" w:hanging="1687"/>
        <w:spacing w:after="0" w:line="25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Rules 13d-1(b), OR 13d-2(b) OR (c), CHECK WHETHER THE PERSON FILING IS A:</w:t>
      </w: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w:t>
      </w:r>
    </w:p>
    <w:p>
      <w:pPr>
        <w:spacing w:after="0" w:line="161"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9"/>
          <w:szCs w:val="19"/>
          <w:color w:val="auto"/>
        </w:rPr>
        <w:t>A parent holding company or control person in accordance with Rule 13d-1(b)(1)(ii)(G);</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140" w:right="160" w:hanging="1347"/>
        <w:spacing w:after="0" w:line="260" w:lineRule="exact"/>
        <w:tabs>
          <w:tab w:leader="none" w:pos="2618"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69"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620" w:hanging="827"/>
        <w:spacing w:after="0" w:line="230" w:lineRule="exact"/>
        <w:tabs>
          <w:tab w:leader="none" w:pos="2620" w:val="left"/>
        </w:tabs>
        <w:numPr>
          <w:ilvl w:val="0"/>
          <w:numId w:val="1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w:t>
            </w:r>
          </w:p>
        </w:tc>
      </w:tr>
      <w:tr>
        <w:trPr>
          <w:trHeight w:val="212"/>
        </w:trPr>
        <w:tc>
          <w:tcPr>
            <w:tcW w:w="1140" w:type="dxa"/>
            <w:vAlign w:val="bottom"/>
          </w:tcPr>
          <w:p>
            <w:pPr>
              <w:spacing w:after="0"/>
              <w:rPr>
                <w:sz w:val="18"/>
                <w:szCs w:val="18"/>
                <w:color w:val="auto"/>
              </w:rPr>
            </w:pPr>
          </w:p>
        </w:tc>
        <w:tc>
          <w:tcPr>
            <w:tcW w:w="9720" w:type="dxa"/>
            <w:vAlign w:val="bottom"/>
            <w:gridSpan w:val="3"/>
          </w:tcPr>
          <w:p>
            <w:pPr>
              <w:ind w:left="560"/>
              <w:spacing w:after="0" w:line="212" w:lineRule="exact"/>
              <w:rPr>
                <w:sz w:val="20"/>
                <w:szCs w:val="20"/>
                <w:color w:val="auto"/>
              </w:rPr>
            </w:pPr>
            <w:r>
              <w:rPr>
                <w:rFonts w:ascii="Times New Roman" w:cs="Times New Roman" w:eastAsia="Times New Roman" w:hAnsi="Times New Roman"/>
                <w:sz w:val="20"/>
                <w:szCs w:val="20"/>
                <w:color w:val="auto"/>
              </w:rPr>
              <w:t>specify the type of institution: Not applicable.</w:t>
            </w:r>
          </w:p>
        </w:tc>
      </w:tr>
      <w:tr>
        <w:trPr>
          <w:trHeight w:val="457"/>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298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1200" w:type="dxa"/>
            <w:vAlign w:val="bottom"/>
            <w:tcBorders>
              <w:top w:val="single" w:sz="8" w:color="auto"/>
            </w:tcBorders>
          </w:tcPr>
          <w:p>
            <w:pPr>
              <w:spacing w:after="0"/>
              <w:rPr>
                <w:sz w:val="24"/>
                <w:szCs w:val="24"/>
                <w:color w:val="auto"/>
              </w:rPr>
            </w:pPr>
          </w:p>
        </w:tc>
        <w:tc>
          <w:tcPr>
            <w:tcW w:w="5540" w:type="dxa"/>
            <w:vAlign w:val="bottom"/>
          </w:tcPr>
          <w:p>
            <w:pPr>
              <w:spacing w:after="0"/>
              <w:rPr>
                <w:sz w:val="24"/>
                <w:szCs w:val="24"/>
                <w:color w:val="auto"/>
              </w:rPr>
            </w:pPr>
          </w:p>
        </w:tc>
      </w:tr>
      <w:tr>
        <w:trPr>
          <w:trHeight w:val="229"/>
        </w:trPr>
        <w:tc>
          <w:tcPr>
            <w:tcW w:w="1140" w:type="dxa"/>
            <w:vAlign w:val="bottom"/>
          </w:tcPr>
          <w:p>
            <w:pPr>
              <w:spacing w:after="0"/>
              <w:rPr>
                <w:sz w:val="19"/>
                <w:szCs w:val="19"/>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58"/>
        </w:trPr>
        <w:tc>
          <w:tcPr>
            <w:tcW w:w="1140" w:type="dxa"/>
            <w:vAlign w:val="bottom"/>
          </w:tcPr>
          <w:p>
            <w:pPr>
              <w:spacing w:after="0"/>
              <w:rPr>
                <w:sz w:val="22"/>
                <w:szCs w:val="22"/>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such Reporting Person.</w:t>
            </w:r>
          </w:p>
        </w:tc>
      </w:tr>
      <w:tr>
        <w:trPr>
          <w:trHeight w:val="430"/>
        </w:trPr>
        <w:tc>
          <w:tcPr>
            <w:tcW w:w="1140" w:type="dxa"/>
            <w:vAlign w:val="bottom"/>
          </w:tcPr>
          <w:p>
            <w:pPr>
              <w:spacing w:after="0"/>
              <w:rPr>
                <w:sz w:val="24"/>
                <w:szCs w:val="24"/>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w w:val="98"/>
              </w:rPr>
              <w:t>The percentage set forth in this Schedule 13G is calculated based upon 701,217,089 Ordinary Shares outstanding as</w:t>
            </w:r>
          </w:p>
        </w:tc>
      </w:tr>
      <w:tr>
        <w:trPr>
          <w:trHeight w:val="229"/>
        </w:trPr>
        <w:tc>
          <w:tcPr>
            <w:tcW w:w="1140" w:type="dxa"/>
            <w:vAlign w:val="bottom"/>
          </w:tcPr>
          <w:p>
            <w:pPr>
              <w:spacing w:after="0"/>
              <w:rPr>
                <w:sz w:val="19"/>
                <w:szCs w:val="19"/>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of November 16, 2023, as reported in Exhibit 99.1 attached to the Company’s Report of Foreign Private Issuer on</w:t>
            </w:r>
          </w:p>
        </w:tc>
      </w:tr>
      <w:tr>
        <w:trPr>
          <w:trHeight w:val="258"/>
        </w:trPr>
        <w:tc>
          <w:tcPr>
            <w:tcW w:w="1140" w:type="dxa"/>
            <w:vAlign w:val="bottom"/>
          </w:tcPr>
          <w:p>
            <w:pPr>
              <w:spacing w:after="0"/>
              <w:rPr>
                <w:sz w:val="22"/>
                <w:szCs w:val="22"/>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Form 6-K filed with the Securities and Exchange Commission on November 16, 2023.</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5.</w:t>
            </w: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FIVE PERCENT OR LESS OF A CLASS</w:t>
            </w:r>
          </w:p>
        </w:tc>
      </w:tr>
      <w:tr>
        <w:trPr>
          <w:trHeight w:val="258"/>
        </w:trPr>
        <w:tc>
          <w:tcPr>
            <w:tcW w:w="1140" w:type="dxa"/>
            <w:vAlign w:val="bottom"/>
          </w:tcPr>
          <w:p>
            <w:pPr>
              <w:spacing w:after="0"/>
              <w:rPr>
                <w:sz w:val="22"/>
                <w:szCs w:val="22"/>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30"/>
        </w:trPr>
        <w:tc>
          <w:tcPr>
            <w:tcW w:w="1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6.</w:t>
            </w: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auto"/>
              </w:rPr>
              <w:t>OWNERSHIP OF MORE THAN FIVE PERCENT ON BEHALF OF ANOTHER PERSON</w:t>
            </w:r>
          </w:p>
        </w:tc>
      </w:tr>
      <w:tr>
        <w:trPr>
          <w:trHeight w:val="258"/>
        </w:trPr>
        <w:tc>
          <w:tcPr>
            <w:tcW w:w="1140" w:type="dxa"/>
            <w:vAlign w:val="bottom"/>
          </w:tcPr>
          <w:p>
            <w:pPr>
              <w:spacing w:after="0"/>
              <w:rPr>
                <w:sz w:val="22"/>
                <w:szCs w:val="22"/>
                <w:color w:val="auto"/>
              </w:rPr>
            </w:pPr>
          </w:p>
        </w:tc>
        <w:tc>
          <w:tcPr>
            <w:tcW w:w="97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Not applicable.</w:t>
            </w:r>
          </w:p>
        </w:tc>
      </w:tr>
    </w:tbl>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11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right="28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SECURITY BEING REPORTED ON BY THE PARENT HOLDING COMPANY OR CONTROL PERSON </w:t>
      </w:r>
      <w:r>
        <w:rPr>
          <w:rFonts w:ascii="Times New Roman" w:cs="Times New Roman" w:eastAsia="Times New Roman" w:hAnsi="Times New Roman"/>
          <w:sz w:val="20"/>
          <w:szCs w:val="20"/>
          <w:color w:val="auto"/>
        </w:rPr>
        <w:t>Not applicable.</w:t>
      </w:r>
    </w:p>
    <w:p>
      <w:pPr>
        <w:spacing w:after="0" w:line="19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8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4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10 of 11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5, 2024</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Partners GP, L.L.C.,</w:t>
      </w:r>
    </w:p>
    <w:p>
      <w:pPr>
        <w:ind w:left="56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Advisors, L.L.C.,</w:t>
      </w:r>
    </w:p>
    <w:p>
      <w:pPr>
        <w:ind w:left="56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Partners LLC,</w:t>
      </w:r>
    </w:p>
    <w:p>
      <w:pPr>
        <w:ind w:left="56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PHILLIP GROSS, individually</w:t>
      </w:r>
    </w:p>
    <w:p>
      <w:pPr>
        <w:sectPr>
          <w:pgSz w:w="11900" w:h="16838" w:orient="portrait"/>
          <w:cols w:equalWidth="0" w:num="1">
            <w:col w:w="11240"/>
          </w:cols>
          <w:pgMar w:left="320" w:top="225" w:right="339" w:bottom="1440" w:gutter="0" w:footer="0" w:header="0"/>
        </w:sectPr>
      </w:pPr>
    </w:p>
    <w:bookmarkStart w:id="10" w:name="page11"/>
    <w:bookmarkEnd w:id="10"/>
    <w:p>
      <w:pPr>
        <w:spacing w:after="0"/>
        <w:tabs>
          <w:tab w:leader="none" w:pos="54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589492107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11 Pages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5, 2024</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Partners GP, L.L.C.,</w:t>
      </w:r>
    </w:p>
    <w:p>
      <w:pPr>
        <w:ind w:left="56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Advisors, L.L.C.,</w:t>
      </w:r>
    </w:p>
    <w:p>
      <w:pPr>
        <w:ind w:left="5620"/>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Adage Capital Partners LLC,</w:t>
      </w:r>
    </w:p>
    <w:p>
      <w:pPr>
        <w:ind w:left="562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3"/>
      <w:numFmt w:val="bullet"/>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2024-02-05T16:17:02Z</dcterms:created>
  <dcterms:modified xsi:type="dcterms:W3CDTF">2024-02-05T16:17:02Z</dcterms:modified>
</cp:coreProperties>
</file>