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As filed with the Securities and Exchange Commission on February 18, 2020</w:t>
      </w:r>
    </w:p>
    <w:p>
      <w:pPr>
        <w:spacing w:after="0" w:line="28" w:lineRule="exact"/>
        <w:rPr>
          <w:sz w:val="24"/>
          <w:szCs w:val="24"/>
          <w:color w:val="auto"/>
        </w:rPr>
      </w:pPr>
    </w:p>
    <w:p>
      <w:pPr>
        <w:ind w:left="93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6822440</wp:posOffset>
            </wp:positionH>
            <wp:positionV relativeFrom="paragraph">
              <wp:posOffset>-10160</wp:posOffset>
            </wp:positionV>
            <wp:extent cx="304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16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66040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F-1</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STATEMENT</w:t>
      </w:r>
    </w:p>
    <w:p>
      <w:pPr>
        <w:jc w:val="center"/>
        <w:ind w:right="-179"/>
        <w:spacing w:after="0" w:line="234"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57785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03"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MEREO BIOPHARMA GROUP PLC</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51"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540" w:type="dxa"/>
            <w:vAlign w:val="bottom"/>
          </w:tcPr>
          <w:p>
            <w:pPr>
              <w:jc w:val="center"/>
              <w:ind w:right="548"/>
              <w:spacing w:after="0"/>
              <w:rPr>
                <w:sz w:val="20"/>
                <w:szCs w:val="20"/>
                <w:color w:val="auto"/>
              </w:rPr>
            </w:pPr>
            <w:r>
              <w:rPr>
                <w:rFonts w:ascii="Arial" w:cs="Arial" w:eastAsia="Arial" w:hAnsi="Arial"/>
                <w:sz w:val="14"/>
                <w:szCs w:val="14"/>
                <w:b w:val="1"/>
                <w:bCs w:val="1"/>
                <w:color w:val="auto"/>
              </w:rPr>
              <w:t>England and Wales</w:t>
            </w:r>
          </w:p>
        </w:tc>
        <w:tc>
          <w:tcPr>
            <w:tcW w:w="4400" w:type="dxa"/>
            <w:vAlign w:val="bottom"/>
          </w:tcPr>
          <w:p>
            <w:pPr>
              <w:jc w:val="center"/>
              <w:ind w:right="8"/>
              <w:spacing w:after="0"/>
              <w:rPr>
                <w:sz w:val="20"/>
                <w:szCs w:val="20"/>
                <w:color w:val="auto"/>
              </w:rPr>
            </w:pPr>
            <w:r>
              <w:rPr>
                <w:rFonts w:ascii="Arial" w:cs="Arial" w:eastAsia="Arial" w:hAnsi="Arial"/>
                <w:sz w:val="14"/>
                <w:szCs w:val="14"/>
                <w:b w:val="1"/>
                <w:bCs w:val="1"/>
                <w:color w:val="auto"/>
              </w:rPr>
              <w:t>2834</w:t>
            </w:r>
          </w:p>
        </w:tc>
        <w:tc>
          <w:tcPr>
            <w:tcW w:w="2100" w:type="dxa"/>
            <w:vAlign w:val="bottom"/>
          </w:tcPr>
          <w:p>
            <w:pPr>
              <w:jc w:val="center"/>
              <w:ind w:left="62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540" w:type="dxa"/>
            <w:vAlign w:val="bottom"/>
          </w:tcPr>
          <w:p>
            <w:pPr>
              <w:jc w:val="center"/>
              <w:ind w:right="548"/>
              <w:spacing w:after="0"/>
              <w:rPr>
                <w:sz w:val="20"/>
                <w:szCs w:val="20"/>
                <w:color w:val="auto"/>
              </w:rPr>
            </w:pPr>
            <w:r>
              <w:rPr>
                <w:rFonts w:ascii="Arial" w:cs="Arial" w:eastAsia="Arial" w:hAnsi="Arial"/>
                <w:sz w:val="14"/>
                <w:szCs w:val="14"/>
                <w:color w:val="auto"/>
              </w:rPr>
              <w:t>(State or Other Jurisdiction of</w:t>
            </w:r>
          </w:p>
        </w:tc>
        <w:tc>
          <w:tcPr>
            <w:tcW w:w="4400" w:type="dxa"/>
            <w:vAlign w:val="bottom"/>
          </w:tcPr>
          <w:p>
            <w:pPr>
              <w:jc w:val="center"/>
              <w:spacing w:after="0"/>
              <w:rPr>
                <w:sz w:val="20"/>
                <w:szCs w:val="20"/>
                <w:color w:val="auto"/>
              </w:rPr>
            </w:pPr>
            <w:r>
              <w:rPr>
                <w:rFonts w:ascii="Arial" w:cs="Arial" w:eastAsia="Arial" w:hAnsi="Arial"/>
                <w:sz w:val="14"/>
                <w:szCs w:val="14"/>
                <w:color w:val="auto"/>
              </w:rPr>
              <w:t>(Primary Standard Industrial Classification Code</w:t>
            </w:r>
          </w:p>
        </w:tc>
        <w:tc>
          <w:tcPr>
            <w:tcW w:w="2100" w:type="dxa"/>
            <w:vAlign w:val="bottom"/>
          </w:tcPr>
          <w:p>
            <w:pPr>
              <w:jc w:val="center"/>
              <w:ind w:left="628"/>
              <w:spacing w:after="0"/>
              <w:rPr>
                <w:sz w:val="20"/>
                <w:szCs w:val="20"/>
                <w:color w:val="auto"/>
              </w:rPr>
            </w:pPr>
            <w:r>
              <w:rPr>
                <w:rFonts w:ascii="Arial" w:cs="Arial" w:eastAsia="Arial" w:hAnsi="Arial"/>
                <w:sz w:val="14"/>
                <w:szCs w:val="14"/>
                <w:color w:val="auto"/>
              </w:rPr>
              <w:t>(I.R.S. Employer</w:t>
            </w:r>
          </w:p>
        </w:tc>
      </w:tr>
      <w:tr>
        <w:trPr>
          <w:trHeight w:val="172"/>
        </w:trPr>
        <w:tc>
          <w:tcPr>
            <w:tcW w:w="2540" w:type="dxa"/>
            <w:vAlign w:val="bottom"/>
          </w:tcPr>
          <w:p>
            <w:pPr>
              <w:jc w:val="center"/>
              <w:ind w:right="548"/>
              <w:spacing w:after="0"/>
              <w:rPr>
                <w:sz w:val="20"/>
                <w:szCs w:val="20"/>
                <w:color w:val="auto"/>
              </w:rPr>
            </w:pPr>
            <w:r>
              <w:rPr>
                <w:rFonts w:ascii="Arial" w:cs="Arial" w:eastAsia="Arial" w:hAnsi="Arial"/>
                <w:sz w:val="14"/>
                <w:szCs w:val="14"/>
                <w:color w:val="auto"/>
              </w:rPr>
              <w:t>Incorporation or Organization)</w:t>
            </w:r>
          </w:p>
        </w:tc>
        <w:tc>
          <w:tcPr>
            <w:tcW w:w="4400" w:type="dxa"/>
            <w:vAlign w:val="bottom"/>
          </w:tcPr>
          <w:p>
            <w:pPr>
              <w:jc w:val="center"/>
              <w:ind w:right="8"/>
              <w:spacing w:after="0"/>
              <w:rPr>
                <w:sz w:val="20"/>
                <w:szCs w:val="20"/>
                <w:color w:val="auto"/>
              </w:rPr>
            </w:pPr>
            <w:r>
              <w:rPr>
                <w:rFonts w:ascii="Arial" w:cs="Arial" w:eastAsia="Arial" w:hAnsi="Arial"/>
                <w:sz w:val="14"/>
                <w:szCs w:val="14"/>
                <w:color w:val="auto"/>
              </w:rPr>
              <w:t>Number)</w:t>
            </w:r>
          </w:p>
        </w:tc>
        <w:tc>
          <w:tcPr>
            <w:tcW w:w="2100" w:type="dxa"/>
            <w:vAlign w:val="bottom"/>
          </w:tcPr>
          <w:p>
            <w:pPr>
              <w:jc w:val="center"/>
              <w:ind w:left="628"/>
              <w:spacing w:after="0"/>
              <w:rPr>
                <w:sz w:val="20"/>
                <w:szCs w:val="20"/>
                <w:color w:val="auto"/>
              </w:rPr>
            </w:pPr>
            <w:r>
              <w:rPr>
                <w:rFonts w:ascii="Arial" w:cs="Arial" w:eastAsia="Arial" w:hAnsi="Arial"/>
                <w:sz w:val="14"/>
                <w:szCs w:val="14"/>
                <w:color w:val="auto"/>
              </w:rPr>
              <w:t>Identification Number)</w:t>
            </w:r>
          </w:p>
        </w:tc>
      </w:tr>
    </w:tbl>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Fourth Floor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One Cavendish Place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+44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57785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Mereo US Holdings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251 Little Falls Drive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Wilmington, DE 19808</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+1 302 636 5401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Copies to:</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David S. Bakst</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Mayer Brown LLP</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1221 Avenue of the Americas</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New York, New York 10020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+1 212 506 2500</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42" w:lineRule="exact"/>
        <w:rPr>
          <w:sz w:val="24"/>
          <w:szCs w:val="24"/>
          <w:color w:val="auto"/>
        </w:rPr>
      </w:pPr>
    </w:p>
    <w:p>
      <w:pPr>
        <w:ind w:left="20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200" w:right="6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4219575</wp:posOffset>
            </wp:positionH>
            <wp:positionV relativeFrom="paragraph">
              <wp:posOffset>-27305</wp:posOffset>
            </wp:positionV>
            <wp:extent cx="431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spacing w:after="0" w:line="8" w:lineRule="exact"/>
        <w:rPr>
          <w:sz w:val="24"/>
          <w:szCs w:val="24"/>
          <w:color w:val="auto"/>
        </w:rPr>
      </w:pPr>
    </w:p>
    <w:p>
      <w:pPr>
        <w:ind w:left="200" w:right="30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-27305</wp:posOffset>
            </wp:positionV>
            <wp:extent cx="431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spacing w:after="0" w:line="8" w:lineRule="exact"/>
        <w:rPr>
          <w:sz w:val="24"/>
          <w:szCs w:val="24"/>
          <w:color w:val="auto"/>
        </w:rPr>
      </w:pPr>
    </w:p>
    <w:p>
      <w:pPr>
        <w:ind w:left="20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-27305</wp:posOffset>
            </wp:positionV>
            <wp:extent cx="431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165" cy="8890"/>
                    </a:xfrm>
                    <a:prstGeom prst="rect">
                      <a:avLst/>
                    </a:prstGeom>
                    <a:noFill/>
                  </pic:spPr>
                </pic:pic>
              </a:graphicData>
            </a:graphic>
          </wp:anchor>
        </w:drawing>
      </w:r>
    </w:p>
    <w:p>
      <w:pPr>
        <w:ind w:left="200"/>
        <w:spacing w:after="0" w:line="141" w:lineRule="exact"/>
        <w:tabs>
          <w:tab w:leader="none" w:pos="10440" w:val="left"/>
        </w:tabs>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Emerging growth company</w:t>
      </w:r>
      <w:r>
        <w:rPr>
          <w:sz w:val="20"/>
          <w:szCs w:val="20"/>
          <w:color w:val="auto"/>
        </w:rPr>
        <w:tab/>
      </w:r>
      <w:r>
        <w:rPr>
          <w:rFonts w:ascii="MS PGothic" w:cs="MS PGothic" w:eastAsia="MS PGothic" w:hAnsi="MS PGothic"/>
          <w:sz w:val="12"/>
          <w:szCs w:val="12"/>
          <w:color w:val="auto"/>
        </w:rPr>
        <w:t>☒</w:t>
      </w:r>
    </w:p>
    <w:p>
      <w:pPr>
        <w:spacing w:after="0" w:line="69" w:lineRule="exact"/>
        <w:rPr>
          <w:sz w:val="24"/>
          <w:szCs w:val="24"/>
          <w:color w:val="auto"/>
        </w:rPr>
      </w:pPr>
    </w:p>
    <w:p>
      <w:pPr>
        <w:ind w:left="20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4"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42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8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42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86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 Of</w:t>
            </w:r>
          </w:p>
        </w:tc>
      </w:tr>
      <w:tr>
        <w:trPr>
          <w:trHeight w:val="162"/>
        </w:trPr>
        <w:tc>
          <w:tcPr>
            <w:tcW w:w="20" w:type="dxa"/>
            <w:vAlign w:val="bottom"/>
          </w:tcPr>
          <w:p>
            <w:pPr>
              <w:spacing w:after="0"/>
              <w:rPr>
                <w:sz w:val="14"/>
                <w:szCs w:val="14"/>
                <w:color w:val="auto"/>
              </w:rPr>
            </w:pPr>
          </w:p>
        </w:tc>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To Be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Registration</w:t>
            </w:r>
          </w:p>
        </w:tc>
      </w:tr>
      <w:tr>
        <w:trPr>
          <w:trHeight w:val="189"/>
        </w:trPr>
        <w:tc>
          <w:tcPr>
            <w:tcW w:w="20" w:type="dxa"/>
            <w:vAlign w:val="bottom"/>
          </w:tcPr>
          <w:p>
            <w:pPr>
              <w:spacing w:after="0"/>
              <w:rPr>
                <w:sz w:val="16"/>
                <w:szCs w:val="16"/>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Price(3)</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Fee(4)</w:t>
            </w:r>
          </w:p>
        </w:tc>
      </w:tr>
      <w:tr>
        <w:trPr>
          <w:trHeight w:val="156"/>
        </w:trPr>
        <w:tc>
          <w:tcPr>
            <w:tcW w:w="424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Ordinary shares, nominal value £ 0.003, per ordinary share(1)</w:t>
            </w:r>
          </w:p>
        </w:tc>
        <w:tc>
          <w:tcPr>
            <w:tcW w:w="1660" w:type="dxa"/>
            <w:vAlign w:val="bottom"/>
            <w:tcBorders>
              <w:bottom w:val="single" w:sz="8" w:color="auto"/>
              <w:right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89,510,410</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$0.33</w:t>
            </w:r>
          </w:p>
        </w:tc>
        <w:tc>
          <w:tcPr>
            <w:tcW w:w="164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$29,538,434.64</w:t>
            </w:r>
          </w:p>
        </w:tc>
        <w:tc>
          <w:tcPr>
            <w:tcW w:w="18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$3,834.09</w:t>
            </w: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640" w:right="160" w:hanging="436"/>
        <w:spacing w:after="0" w:line="24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All ordinary shares offered are in the form of American Depositary Shares (“ADSs”), with each ADS representing five (5) of our ordinary shares. ADSs issuable upon deposit of the ordinary shares registered hereby have been registered under a separate registration statement on Form F-6 (File No. 333-223890), as amended.</w:t>
      </w:r>
    </w:p>
    <w:p>
      <w:pPr>
        <w:ind w:left="640" w:right="280" w:hanging="436"/>
        <w:spacing w:after="0" w:line="24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(i) 14,295,520 ordinary shares, nominal value £0.003 per share, equivalent to 2,859,104 ADSs currently outstanding pursuant to a securities purchase agreement with the selling shareholder named herein, and (ii) up to $25 million that are issuable to the selling shareholder pursuant to the securities purchase agreement, or 75,214,890 ordinary shares (equivalent to 15,042,978 ADSs) based on the proposed maximum offering price per share. Pursuant to Rule 416 of the Securities Act of 1933, as amended (the “Securities Act”), this registration statement also covers any additional shares underlying the ADSs which may become issuable to prevent dilution from stock splits, stock dividends and similar events.</w:t>
      </w:r>
    </w:p>
    <w:p>
      <w:pPr>
        <w:spacing w:after="0" w:line="1" w:lineRule="exact"/>
        <w:rPr>
          <w:rFonts w:ascii="Arial" w:cs="Arial" w:eastAsia="Arial" w:hAnsi="Arial"/>
          <w:sz w:val="14"/>
          <w:szCs w:val="14"/>
          <w:color w:val="auto"/>
        </w:rPr>
      </w:pPr>
    </w:p>
    <w:p>
      <w:pPr>
        <w:ind w:left="640" w:right="40" w:hanging="436"/>
        <w:spacing w:after="0" w:line="24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457(c) under the Securities Act. The proposed maximum offering price per ordinary share and proposed maximum aggregate offering price are calculated on the basis of £0.2575, the average of the high and low sale price of the ordinary shares of the Registrant on the Alternative Investment Market operated by the London Stock Exchange on February 13, 2020, which is within five business days prior to the filing of this registration statement, converted into U.S. dollars at the noon buying rate of the Federal Reserve Bank of New York on February 7, 2020, of $1.2908 to £1.0000.</w:t>
      </w:r>
    </w:p>
    <w:p>
      <w:pPr>
        <w:spacing w:after="0" w:line="1" w:lineRule="exact"/>
        <w:rPr>
          <w:rFonts w:ascii="Arial" w:cs="Arial" w:eastAsia="Arial" w:hAnsi="Arial"/>
          <w:sz w:val="14"/>
          <w:szCs w:val="14"/>
          <w:color w:val="auto"/>
        </w:rPr>
      </w:pPr>
    </w:p>
    <w:p>
      <w:pPr>
        <w:ind w:left="640" w:right="100" w:hanging="436"/>
        <w:spacing w:after="0" w:line="245"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457(p) under the Securities Act, the Registrant hereby offsets the registration fee for this registration statement on Form F-1 against the portion of the $10,022.00 registration fee previously paid by the Registrant in connection with the Registrant’s registration statement on Form F-1 (File No. 333-223883), initially filed by the Registrant with the Securities and Exchange Commission (“SEC”) on March 23, 2018 and withdrawn by the Registrant on February 21, 2019 before it had become effective and before any securities were sold thereunder, of which $9,654.39 remains available. Accordingly, no filing fee is being paid at this time. After application of the registration fee due in connection with this registration statement on Form F-1, $5,820.30 remains available to the Registrant for future use.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100965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4" w:lineRule="exact"/>
        <w:rPr>
          <w:sz w:val="24"/>
          <w:szCs w:val="24"/>
          <w:color w:val="auto"/>
        </w:rPr>
      </w:pPr>
    </w:p>
    <w:p>
      <w:pPr>
        <w:jc w:val="both"/>
        <w:ind w:left="200"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41275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83820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40"/>
        <w:spacing w:after="0" w:line="275" w:lineRule="auto"/>
        <w:rPr>
          <w:sz w:val="20"/>
          <w:szCs w:val="20"/>
          <w:color w:val="auto"/>
        </w:rPr>
      </w:pPr>
      <w:r>
        <w:rPr>
          <w:rFonts w:ascii="Arial" w:cs="Arial" w:eastAsia="Arial" w:hAnsi="Arial"/>
          <w:sz w:val="17"/>
          <w:szCs w:val="17"/>
          <w:color w:val="CC062A"/>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84" w:lineRule="exact"/>
        <w:rPr>
          <w:sz w:val="20"/>
          <w:szCs w:val="20"/>
          <w:color w:val="auto"/>
        </w:rPr>
      </w:pPr>
    </w:p>
    <w:p>
      <w:pPr>
        <w:ind w:left="200"/>
        <w:spacing w:after="0"/>
        <w:tabs>
          <w:tab w:leader="none" w:pos="9140" w:val="left"/>
        </w:tabs>
        <w:rPr>
          <w:sz w:val="20"/>
          <w:szCs w:val="20"/>
          <w:color w:val="auto"/>
        </w:rPr>
      </w:pPr>
      <w:r>
        <w:rPr>
          <w:rFonts w:ascii="Arial" w:cs="Arial" w:eastAsia="Arial" w:hAnsi="Arial"/>
          <w:sz w:val="18"/>
          <w:szCs w:val="18"/>
          <w:b w:val="1"/>
          <w:bCs w:val="1"/>
          <w:color w:val="auto"/>
        </w:rPr>
        <w:t>PRELIMINARY PROSPECTUS (Subject to Completion)</w:t>
      </w:r>
      <w:r>
        <w:rPr>
          <w:sz w:val="20"/>
          <w:szCs w:val="20"/>
          <w:color w:val="auto"/>
        </w:rPr>
        <w:tab/>
      </w:r>
      <w:r>
        <w:rPr>
          <w:rFonts w:ascii="Arial" w:cs="Arial" w:eastAsia="Arial" w:hAnsi="Arial"/>
          <w:sz w:val="17"/>
          <w:szCs w:val="17"/>
          <w:b w:val="1"/>
          <w:bCs w:val="1"/>
          <w:color w:val="CC062A"/>
        </w:rPr>
        <w:t>Dated February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106045</wp:posOffset>
            </wp:positionV>
            <wp:extent cx="699770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17,902,082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179705</wp:posOffset>
            </wp:positionV>
            <wp:extent cx="2470150" cy="900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prospectus relates to the sale of up to $28,300,000 or 17,902,082 American Depositary Shares (“ADSs”), which represent 89,510,410 of our ordinary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with each ADS representing five (5) of our ordinary shares, by Aspire Capital Fund, LLC (referred to in this prospectus as “Aspire Capital” or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shareholder”) that we may issue at our option to Aspire Capital in the future, pursuant to a securities purchase agreement entered into with Aspire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Capital on February 10, 2020 (the “Purchase Agreement”), which consists of (i) 11,432,925 ordinary shares that may be exchanged for 2,286,585 ADSs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“Initial Shares”) that were issued to the selling shareholder for $0.26 per ordinary share (equivalent to $1.31 per ADS) for an aggregate amount of</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$3,000,000, (ii) 2,862,595 ordinary shares that may be exchanged for 572,519 ADSs (the “Commission Shares”) issued in satisfaction for the commission</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fee due to Aspire Capital of $300,000 pursuant to the Purchase Agreement, and (iii) up to an additional $25,000,000 ordinary shares exchangeable for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issuable to the selling shareholder under the Purchase Agreement for which we are registering 15,042,978 ADSs representing 75,214,890 ordinary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(calculated based on the average of the high and low sale price of our ordinary shares on the Alternative Investment Market (“AIM”) on</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February 13, 2020 of £0.2575 per share, converted into U.S. dollars at the noon buying rate of the Federal Reserve Bank of New York on February 7,</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2020, of $1.2908 to £1.0000). As of the date of this prospectus, the exact number of ordinary shares we may issue to the selling shareholder under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 Agreement is not determinable because the actual purchase price per share will fluctuate based on the market price of our shares during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 of the Purchase Agreement.</w:t>
      </w:r>
    </w:p>
    <w:p>
      <w:pPr>
        <w:spacing w:after="0" w:line="221"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auto"/>
        </w:rPr>
        <w:t>The ADSs may be evidenced by American Depositary Receipts (“ADRs”). Any proceeds that the Company receives under the Purchase Agreement are expected to be used for working capital and general corporate purposes.</w:t>
      </w:r>
    </w:p>
    <w:p>
      <w:pPr>
        <w:spacing w:after="0" w:line="196"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The prices at which the selling shareholder may sell the ADSs will be determined by the prevailing market price for the shares or in negotiated transactions. We will not receive proceeds from the sale of the ADSs by the selling shareholder. However, we may receive proceeds of up to $28.0 million from the sale of our ADSs to the selling shareholder pursuant to the Purchase Agreement, once the registration statement, of which this prospectus is a part, is declared effective, which includes $3.0 million that we received from the selling shareholder for the sale of the Initial Shares of 11,432,925 ordinary shares exchangeable for 2,286,585 ADSs to the selling shareholder.</w:t>
      </w:r>
    </w:p>
    <w:p>
      <w:pPr>
        <w:spacing w:after="0" w:line="203"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auto"/>
        </w:rPr>
        <w:t>Aspire Capital is an “underwriter” within the meaning of the Securities Act. We will pay the expenses of registering these ADSs, but all selling and other expenses incurred by the selling shareholder will be paid by the selling shareholder.</w:t>
      </w:r>
    </w:p>
    <w:p>
      <w:pPr>
        <w:spacing w:after="0" w:line="196" w:lineRule="exact"/>
        <w:rPr>
          <w:sz w:val="20"/>
          <w:szCs w:val="20"/>
          <w:color w:val="auto"/>
        </w:rPr>
      </w:pPr>
    </w:p>
    <w:p>
      <w:pPr>
        <w:jc w:val="both"/>
        <w:ind w:left="200" w:right="500"/>
        <w:spacing w:after="0" w:line="260" w:lineRule="auto"/>
        <w:rPr>
          <w:sz w:val="20"/>
          <w:szCs w:val="20"/>
          <w:color w:val="auto"/>
        </w:rPr>
      </w:pPr>
      <w:r>
        <w:rPr>
          <w:rFonts w:ascii="Arial" w:cs="Arial" w:eastAsia="Arial" w:hAnsi="Arial"/>
          <w:sz w:val="16"/>
          <w:szCs w:val="16"/>
          <w:color w:val="auto"/>
        </w:rPr>
        <w:t>Our ADSs trade on the Nasdaq Global Market (“Nasdaq”) under the symbol “MREO.” In addition, our ordinary shares trade on AIM, a market of the London Stock Exchange, under the symbol “MPH.” On February 14, 2020, the last reported sale price of our ADSs on Nasdaq was $1.68 per ADS.</w:t>
      </w:r>
    </w:p>
    <w:p>
      <w:pPr>
        <w:spacing w:after="0" w:line="196" w:lineRule="exact"/>
        <w:rPr>
          <w:sz w:val="20"/>
          <w:szCs w:val="20"/>
          <w:color w:val="auto"/>
        </w:rPr>
      </w:pPr>
    </w:p>
    <w:p>
      <w:pPr>
        <w:ind w:left="200" w:right="280"/>
        <w:spacing w:after="0" w:line="253"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of 1933, as amended, and, as such, are subject to reduced public company reporting requirements. See “Prospectus Summary—Implications of Being an Emerging Growth Company and a Foreign Private Issuer” for additional information.</w:t>
      </w:r>
    </w:p>
    <w:p>
      <w:pPr>
        <w:spacing w:after="0" w:line="181" w:lineRule="exact"/>
        <w:rPr>
          <w:sz w:val="20"/>
          <w:szCs w:val="20"/>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Our business and an investment in our ADSs involve significant risks. See “</w:t>
      </w:r>
      <w:hyperlink w:anchor="page1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9 of this prospectus.</w:t>
      </w:r>
    </w:p>
    <w:p>
      <w:pPr>
        <w:spacing w:after="0" w:line="241"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208915</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45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6"/>
                <w:szCs w:val="16"/>
                <w:color w:val="auto"/>
              </w:rPr>
              <w:t>Prospectus dated</w:t>
            </w:r>
          </w:p>
        </w:tc>
        <w:tc>
          <w:tcPr>
            <w:tcW w:w="820" w:type="dxa"/>
            <w:vAlign w:val="bottom"/>
          </w:tcPr>
          <w:p>
            <w:pPr>
              <w:jc w:val="right"/>
              <w:spacing w:after="0"/>
              <w:rPr>
                <w:sz w:val="20"/>
                <w:szCs w:val="20"/>
                <w:color w:val="auto"/>
              </w:rPr>
            </w:pPr>
            <w:r>
              <w:rPr>
                <w:rFonts w:ascii="Arial" w:cs="Arial" w:eastAsia="Arial" w:hAnsi="Arial"/>
                <w:sz w:val="16"/>
                <w:szCs w:val="16"/>
                <w:color w:val="auto"/>
              </w:rPr>
              <w:t>, 2020</w:t>
            </w:r>
          </w:p>
        </w:tc>
      </w:tr>
    </w:tbl>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820" w:type="dxa"/>
            <w:vAlign w:val="bottom"/>
            <w:gridSpan w:val="10"/>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About This Prospectus</w:t>
              </w:r>
            </w:hyperlink>
          </w:p>
        </w:tc>
        <w:tc>
          <w:tcPr>
            <w:tcW w:w="6720" w:type="dxa"/>
            <w:vAlign w:val="bottom"/>
            <w:gridSpan w:val="12"/>
            <w:vMerge w:val="restart"/>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820" w:type="dxa"/>
            <w:vAlign w:val="bottom"/>
            <w:tcBorders>
              <w:bottom w:val="single" w:sz="8" w:color="0000EE"/>
            </w:tcBorders>
            <w:gridSpan w:val="10"/>
            <w:vMerge w:val="continue"/>
          </w:tcPr>
          <w:p>
            <w:pPr>
              <w:spacing w:after="0"/>
              <w:rPr>
                <w:sz w:val="13"/>
                <w:szCs w:val="13"/>
                <w:color w:val="auto"/>
              </w:rPr>
            </w:pPr>
          </w:p>
        </w:tc>
        <w:tc>
          <w:tcPr>
            <w:tcW w:w="6720" w:type="dxa"/>
            <w:vAlign w:val="bottom"/>
            <w:gridSpan w:val="12"/>
            <w:vMerge w:val="continue"/>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Presentation of Financial Information</w:t>
              </w:r>
            </w:hyperlink>
          </w:p>
        </w:tc>
        <w:tc>
          <w:tcPr>
            <w:tcW w:w="5600" w:type="dxa"/>
            <w:vAlign w:val="bottom"/>
            <w:gridSpan w:val="8"/>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820" w:type="dxa"/>
            <w:vAlign w:val="bottom"/>
            <w:gridSpan w:val="13"/>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Cautionary Statement Regarding Forward-Looking Statements</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Market and Industry Data</w:t>
              </w:r>
            </w:hyperlink>
          </w:p>
        </w:tc>
        <w:tc>
          <w:tcPr>
            <w:tcW w:w="3560" w:type="dxa"/>
            <w:vAlign w:val="bottom"/>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Trademarks, Service Marks and Trade Names</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3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Use of Proceeds</w:t>
              </w:r>
            </w:hyperlink>
          </w:p>
        </w:tc>
        <w:tc>
          <w:tcPr>
            <w:tcW w:w="2340" w:type="dxa"/>
            <w:vAlign w:val="bottom"/>
            <w:tcBorders>
              <w:top w:val="single" w:sz="8" w:color="0000EE"/>
            </w:tcBorders>
            <w:gridSpan w:val="11"/>
          </w:tcPr>
          <w:p>
            <w:pPr>
              <w:spacing w:after="0"/>
              <w:rPr>
                <w:sz w:val="15"/>
                <w:szCs w:val="15"/>
                <w:color w:val="auto"/>
              </w:rPr>
            </w:pPr>
          </w:p>
        </w:tc>
        <w:tc>
          <w:tcPr>
            <w:tcW w:w="4860" w:type="dxa"/>
            <w:vAlign w:val="bottom"/>
            <w:gridSpan w:val="5"/>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The Aspire Capital Transaction</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5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Selling Shareholder</w:t>
              </w:r>
            </w:hyperlink>
          </w:p>
        </w:tc>
        <w:tc>
          <w:tcPr>
            <w:tcW w:w="880" w:type="dxa"/>
            <w:vAlign w:val="bottom"/>
            <w:tcBorders>
              <w:top w:val="single" w:sz="8" w:color="0000EE"/>
            </w:tcBorders>
            <w:gridSpan w:val="5"/>
          </w:tcPr>
          <w:p>
            <w:pPr>
              <w:spacing w:after="0"/>
              <w:rPr>
                <w:sz w:val="15"/>
                <w:szCs w:val="15"/>
                <w:color w:val="auto"/>
              </w:rPr>
            </w:pPr>
          </w:p>
        </w:tc>
        <w:tc>
          <w:tcPr>
            <w:tcW w:w="6080" w:type="dxa"/>
            <w:vAlign w:val="bottom"/>
            <w:gridSpan w:val="9"/>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Capitalization</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Dilution</w:t>
              </w:r>
            </w:hyperlink>
          </w:p>
        </w:tc>
        <w:tc>
          <w:tcPr>
            <w:tcW w:w="7460" w:type="dxa"/>
            <w:vAlign w:val="bottom"/>
            <w:gridSpan w:val="18"/>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Share Capital and Articles of Association</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44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American Depositary Shares</w:t>
              </w:r>
            </w:hyperlink>
          </w:p>
        </w:tc>
        <w:tc>
          <w:tcPr>
            <w:tcW w:w="4140" w:type="dxa"/>
            <w:vAlign w:val="bottom"/>
            <w:gridSpan w:val="2"/>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34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Material Tax Considerations</w:t>
              </w:r>
            </w:hyperlink>
          </w:p>
        </w:tc>
        <w:tc>
          <w:tcPr>
            <w:tcW w:w="5100" w:type="dxa"/>
            <w:vAlign w:val="bottom"/>
            <w:gridSpan w:val="6"/>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3"/>
        </w:trPr>
        <w:tc>
          <w:tcPr>
            <w:tcW w:w="15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Plan of Distribution</w:t>
              </w:r>
            </w:hyperlink>
          </w:p>
        </w:tc>
        <w:tc>
          <w:tcPr>
            <w:tcW w:w="700" w:type="dxa"/>
            <w:vAlign w:val="bottom"/>
            <w:tcBorders>
              <w:top w:val="single" w:sz="8" w:color="0000EE"/>
            </w:tcBorders>
            <w:gridSpan w:val="5"/>
          </w:tcPr>
          <w:p>
            <w:pPr>
              <w:spacing w:after="0"/>
              <w:rPr>
                <w:sz w:val="15"/>
                <w:szCs w:val="15"/>
                <w:color w:val="auto"/>
              </w:rPr>
            </w:pPr>
          </w:p>
        </w:tc>
        <w:tc>
          <w:tcPr>
            <w:tcW w:w="6320" w:type="dxa"/>
            <w:vAlign w:val="bottom"/>
            <w:gridSpan w:val="10"/>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Expenses of the Offering</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11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Legal Matters</w:t>
              </w:r>
            </w:hyperlink>
          </w:p>
        </w:tc>
        <w:tc>
          <w:tcPr>
            <w:tcW w:w="920" w:type="dxa"/>
            <w:vAlign w:val="bottom"/>
            <w:tcBorders>
              <w:top w:val="single" w:sz="8" w:color="0000EE"/>
            </w:tcBorders>
            <w:gridSpan w:val="6"/>
          </w:tcPr>
          <w:p>
            <w:pPr>
              <w:spacing w:after="0"/>
              <w:rPr>
                <w:sz w:val="15"/>
                <w:szCs w:val="15"/>
                <w:color w:val="auto"/>
              </w:rPr>
            </w:pPr>
          </w:p>
        </w:tc>
        <w:tc>
          <w:tcPr>
            <w:tcW w:w="6520" w:type="dxa"/>
            <w:vAlign w:val="bottom"/>
            <w:gridSpan w:val="11"/>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Experts</w:t>
              </w:r>
            </w:hyperlink>
          </w:p>
        </w:tc>
        <w:tc>
          <w:tcPr>
            <w:tcW w:w="7920" w:type="dxa"/>
            <w:vAlign w:val="bottom"/>
            <w:gridSpan w:val="20"/>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8540" w:type="dxa"/>
            <w:vAlign w:val="bottom"/>
            <w:gridSpan w:val="22"/>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Incorporation of Certain Documents by Reference</w:t>
              </w:r>
            </w:hyperlink>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39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Service of Process and Enforcement of Liabilities</w:t>
              </w:r>
            </w:hyperlink>
          </w:p>
        </w:tc>
        <w:tc>
          <w:tcPr>
            <w:tcW w:w="40" w:type="dxa"/>
            <w:vAlign w:val="bottom"/>
            <w:tcBorders>
              <w:top w:val="single" w:sz="8" w:color="0000EE"/>
            </w:tcBorders>
          </w:tcPr>
          <w:p>
            <w:pPr>
              <w:spacing w:after="0"/>
              <w:rPr>
                <w:sz w:val="15"/>
                <w:szCs w:val="15"/>
                <w:color w:val="auto"/>
              </w:rPr>
            </w:pPr>
          </w:p>
        </w:tc>
        <w:tc>
          <w:tcPr>
            <w:tcW w:w="4580" w:type="dxa"/>
            <w:vAlign w:val="bottom"/>
            <w:gridSpan w:val="3"/>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83">
              <w:r>
                <w:rPr>
                  <w:rFonts w:ascii="Arial" w:cs="Arial" w:eastAsia="Arial" w:hAnsi="Arial"/>
                  <w:sz w:val="18"/>
                  <w:szCs w:val="18"/>
                  <w:color w:val="0000EE"/>
                  <w:w w:val="98"/>
                </w:rPr>
                <w:t>Where You Can Find More Information</w:t>
              </w:r>
            </w:hyperlink>
          </w:p>
        </w:tc>
        <w:tc>
          <w:tcPr>
            <w:tcW w:w="5460" w:type="dxa"/>
            <w:vAlign w:val="bottom"/>
            <w:gridSpan w:val="7"/>
          </w:tcPr>
          <w:p>
            <w:pPr>
              <w:spacing w:after="0"/>
              <w:rPr>
                <w:sz w:val="15"/>
                <w:szCs w:val="15"/>
                <w:color w:val="auto"/>
              </w:rPr>
            </w:pPr>
          </w:p>
        </w:tc>
        <w:tc>
          <w:tcPr>
            <w:tcW w:w="2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231775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0" w:firstLine="441"/>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selling shareholder has not, authorized anyone to provide you with different information, and we and the selling shareholder take no responsibility for any other information others may give you. We are not, and the selling shareholder is not, making an offer to sell our ADSs in any jurisdiction where such offer or sale is not permitted. You should not assume that the information contained in this prospectus is accurate as of any date other than the date on the front cover of this prospectus, regardless of the time of delivery of this prospectus or the sale of any ADSs.</w:t>
      </w:r>
    </w:p>
    <w:p>
      <w:pPr>
        <w:spacing w:after="0" w:line="201"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For investors outside the United States: neither we nor the selling shareholder have done anything that would permit the offering or possession or distribution of this prospectus or any free writing prospectus in any jurisdiction, other than the United States, where action for that purpose is required. Persons outside the United States who come into possession of this prospectus or any free writing prospectus must inform themselves about, and observe any restrictions relating to, the offering and the distribution of this prospectus and any free writing prospectus outside the United States.</w:t>
      </w:r>
    </w:p>
    <w:p>
      <w:pPr>
        <w:spacing w:after="0" w:line="203"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Under this registration statement, the selling shareholder may sell our ADSs described in this prospectus from time to time. Please read carefully this prospectus together with additional information described below under “Where You Can Find More Information” and “Incorporation of Certain Documents by Reference.”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w:t>
      </w:r>
    </w:p>
    <w:p>
      <w:pPr>
        <w:spacing w:after="0" w:line="203" w:lineRule="exact"/>
        <w:rPr>
          <w:sz w:val="20"/>
          <w:szCs w:val="20"/>
          <w:color w:val="auto"/>
        </w:rPr>
      </w:pPr>
    </w:p>
    <w:p>
      <w:pPr>
        <w:ind w:left="1060" w:hanging="424"/>
        <w:spacing w:after="0"/>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“ADSs” are to our American Depositary Shares, each of which represents five ordinary shares of Mereo BioPharma Group plc;</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“ADRs” are to the American depositary receipts that may evidence our ADSs;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“EMA” are to the European Medicines Agency;</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“Exchange Act” are to the U.S. Securities Exchange Act of 1934, as amended;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“FDA” are to the U.S. Food and Drug Administration;</w:t>
      </w:r>
    </w:p>
    <w:p>
      <w:pPr>
        <w:spacing w:after="0" w:line="26" w:lineRule="exact"/>
        <w:rPr>
          <w:rFonts w:ascii="MS PGothic" w:cs="MS PGothic" w:eastAsia="MS PGothic" w:hAnsi="MS PGothic"/>
          <w:sz w:val="25"/>
          <w:szCs w:val="25"/>
          <w:color w:val="auto"/>
          <w:vertAlign w:val="superscript"/>
        </w:rPr>
      </w:pPr>
    </w:p>
    <w:p>
      <w:pPr>
        <w:ind w:left="1060" w:right="240" w:hanging="424"/>
        <w:spacing w:after="0" w:line="228"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the “Company,” “we,” “us,” and “our” refer to Mereo BioPharma Group plc and our wholly-owned subsidiaries Mereo BioPharma 1 Limited, Mereo BioPharma 2 Limited, Mereo BioPharma 3 Limited, Mereo BioPharma 4 Limited, Mereo BioPharma Ireland Limited, Mereo US Holdings Inc., NAVI Subsidiary, Inc. and OncoMed Pharmaceuticals, Inc. Our consolidated financial statements also treat Mereo BioPharma Group plc Employee Benefit Trust, an employee benefit trust operated by us, as a wholly-owned subsidiary of ours;</w:t>
      </w:r>
    </w:p>
    <w:p>
      <w:pPr>
        <w:spacing w:after="0" w:line="26" w:lineRule="exact"/>
        <w:rPr>
          <w:rFonts w:ascii="MS PGothic" w:cs="MS PGothic" w:eastAsia="MS PGothic" w:hAnsi="MS PGothic"/>
          <w:sz w:val="25"/>
          <w:szCs w:val="25"/>
          <w:color w:val="auto"/>
          <w:vertAlign w:val="superscript"/>
        </w:rPr>
      </w:pPr>
    </w:p>
    <w:p>
      <w:pPr>
        <w:ind w:left="1060" w:right="460" w:hanging="424"/>
        <w:spacing w:after="0" w:line="223"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“Merger” are to the merger of Mereo MergerCo One Inc. and OncoMed Pharmaceuticals, Inc., with OncoMed Pharmaceuticals, Inc. surviving as a wholly-owned subsidiary of Mereo US Holdings Inc., and as an indirect wholly-owned subsidiary of Mereo BioPharma Group plc;</w:t>
      </w:r>
    </w:p>
    <w:p>
      <w:pPr>
        <w:spacing w:after="0" w:line="28" w:lineRule="exact"/>
        <w:rPr>
          <w:rFonts w:ascii="MS PGothic" w:cs="MS PGothic" w:eastAsia="MS PGothic" w:hAnsi="MS PGothic"/>
          <w:sz w:val="25"/>
          <w:szCs w:val="25"/>
          <w:color w:val="auto"/>
          <w:vertAlign w:val="superscript"/>
        </w:rPr>
      </w:pPr>
    </w:p>
    <w:p>
      <w:pPr>
        <w:ind w:left="1060" w:right="80" w:hanging="424"/>
        <w:spacing w:after="0" w:line="218"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“Merger Agreement” are to the Agreement and Plan of Merger and Reorganization, dated December 5, 2018, by and among Mereo BioPharma Group plc, Mereo US Holdings Inc., Mereo MergerCo One Inc. and OncoMed Pharmaceuticals, Inc.;</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are to OncoMed Pharmaceuticals, Inc.;</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are to our ordinary shares, each of £0.003 nominal value;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 are to the U.S. Securities and Exchange Commission;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“Securities Act” are to the U.S. Securities Act of 1933, as amended;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 “USD,” “US$” and “U.S. dollar” are to the United States dollar (or units thereof);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 “GBP,” “pound sterling,” “pence” and “p” are to the British pound sterling (or units thereof).</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This prospectus incorporates by reference our audited consolidated financial statements as of December 31, 2018 and 2017 and for each of the three years in the period ended December 31, 2018, our unaudited interim consolidated financial statements as of June 30, 2019 and 2018 and for the six months ended June 30, 2019 and 2018, prepared in accordance with International Financial Reporting Standards (“IFRS”), as issued by the International Accounting Standards Board (“IASB”), and certain unaudited pro forma condensed combined financial information. The unaudited interim consolidated financial statements have been prepared in accordance with IAS 34 as issued by the IASB. None of our financial statements were prepared in accordance with U.S. generally accepted accounting standards (“U.S. GAAP”).</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Our financial information is presented in pounds sterling. Translations from pounds sterling into U.S. dollars are not necessarily</w:t>
      </w:r>
    </w:p>
    <w:p>
      <w:pPr>
        <w:jc w:val="center"/>
        <w:ind w:right="-199"/>
        <w:spacing w:after="0"/>
        <w:rPr>
          <w:sz w:val="20"/>
          <w:szCs w:val="20"/>
          <w:color w:val="auto"/>
        </w:rPr>
      </w:pPr>
      <w:r>
        <w:rPr>
          <w:rFonts w:ascii="Arial" w:cs="Arial" w:eastAsia="Arial" w:hAnsi="Arial"/>
          <w:sz w:val="18"/>
          <w:szCs w:val="18"/>
          <w:color w:val="auto"/>
        </w:rPr>
        <w:t>indicative of the amounts of U.S. dollars that could actually have been purchased upon exchange of pounds sterling at the dates indicated.</w:t>
      </w:r>
    </w:p>
    <w:p>
      <w:pPr>
        <w:spacing w:after="0" w:line="212"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80" w:right="100" w:firstLine="426"/>
        <w:spacing w:after="0" w:line="251"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information set forth under the sections titled “Risk Factors” before deciding to invest in our ADSs.</w:t>
      </w:r>
    </w:p>
    <w:p>
      <w:pPr>
        <w:spacing w:after="0" w:line="192" w:lineRule="exact"/>
        <w:rPr>
          <w:sz w:val="20"/>
          <w:szCs w:val="20"/>
          <w:color w:val="auto"/>
        </w:rPr>
      </w:pPr>
    </w:p>
    <w:p>
      <w:pPr>
        <w:ind w:left="380" w:firstLine="426"/>
        <w:spacing w:after="0" w:line="238"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patients with rare diseases. Our ADSs trade on Nasdaq under the symbol “MREO” and our ordinary shares trade on the AIM, a market of the London Stock Exchange, under the symbol “MPH.” Our strategy is to build a portfolio of rare disease product candidates acquired from pharmaceutical and large biotechnology companies and to develop these through regulatory approval and subsequent commercialization.</w:t>
      </w:r>
    </w:p>
    <w:p>
      <w:pPr>
        <w:spacing w:after="0" w:line="203" w:lineRule="exact"/>
        <w:rPr>
          <w:sz w:val="20"/>
          <w:szCs w:val="20"/>
          <w:color w:val="auto"/>
        </w:rPr>
      </w:pPr>
    </w:p>
    <w:p>
      <w:pPr>
        <w:ind w:left="380" w:right="60" w:firstLine="426"/>
        <w:spacing w:after="0" w:line="239" w:lineRule="auto"/>
        <w:rPr>
          <w:sz w:val="20"/>
          <w:szCs w:val="20"/>
          <w:color w:val="auto"/>
        </w:rPr>
      </w:pPr>
      <w:r>
        <w:rPr>
          <w:rFonts w:ascii="Arial" w:cs="Arial" w:eastAsia="Arial" w:hAnsi="Arial"/>
          <w:sz w:val="18"/>
          <w:szCs w:val="18"/>
          <w:color w:val="auto"/>
        </w:rPr>
        <w:t>Our existing portfolio consists of five clinical-stage product candidates. Our rare and orphan disease product candidates, setrusumab for the treatment of osteogenesis imperfecta (“OI”) and alvelestat for the treatment of severe alpha-1 antitrypsin deficiency (“AATD”), represent an attractive development and commercialization opportunity for us. Each of our rare disease product candidates has generated positive clinical data for its target indication or for a related indication.</w:t>
      </w:r>
    </w:p>
    <w:p>
      <w:pPr>
        <w:spacing w:after="0" w:line="202" w:lineRule="exact"/>
        <w:rPr>
          <w:sz w:val="20"/>
          <w:szCs w:val="20"/>
          <w:color w:val="auto"/>
        </w:rPr>
      </w:pPr>
    </w:p>
    <w:p>
      <w:pPr>
        <w:ind w:left="380" w:right="360" w:firstLine="426"/>
        <w:spacing w:after="0" w:line="239" w:lineRule="auto"/>
        <w:rPr>
          <w:sz w:val="20"/>
          <w:szCs w:val="20"/>
          <w:color w:val="auto"/>
        </w:rPr>
      </w:pPr>
      <w:r>
        <w:rPr>
          <w:rFonts w:ascii="Arial" w:cs="Arial" w:eastAsia="Arial" w:hAnsi="Arial"/>
          <w:sz w:val="18"/>
          <w:szCs w:val="18"/>
          <w:color w:val="auto"/>
        </w:rPr>
        <w:t>We plan to partner or sell our existing non-rare disease product candidates, which include acumapimod for the treatment of acute exacerbations of chronic obstructive pulmonary disease (“AECOPD”), leflutrozole for the treatment of hypogonadotropic hypogonadism (“HH”) in obese men and etigilimab for the treatment of solid tumors, recognizing the need for a larger sales infrastructure and greater resources to take these product candidates to market.</w:t>
      </w:r>
    </w:p>
    <w:p>
      <w:pPr>
        <w:spacing w:after="0" w:line="202" w:lineRule="exact"/>
        <w:rPr>
          <w:sz w:val="20"/>
          <w:szCs w:val="20"/>
          <w:color w:val="auto"/>
        </w:rPr>
      </w:pPr>
    </w:p>
    <w:p>
      <w:pPr>
        <w:ind w:left="380" w:right="260" w:firstLine="426"/>
        <w:spacing w:after="0" w:line="246" w:lineRule="auto"/>
        <w:rPr>
          <w:sz w:val="20"/>
          <w:szCs w:val="20"/>
          <w:color w:val="auto"/>
        </w:rPr>
      </w:pPr>
      <w:r>
        <w:rPr>
          <w:rFonts w:ascii="Arial" w:cs="Arial" w:eastAsia="Arial" w:hAnsi="Arial"/>
          <w:sz w:val="18"/>
          <w:szCs w:val="18"/>
          <w:color w:val="auto"/>
        </w:rPr>
        <w:t>The following table summarizes our product candidate pipeline. We have global commercial rights to setrusumab, alvelestat, acumapimod, leflutrozole and etigilimab.</w:t>
      </w:r>
    </w:p>
    <w:p>
      <w:pPr>
        <w:spacing w:after="0" w:line="28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Rare Disease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240" w:top="459"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0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504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Non-Rare Disease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 w:right="380" w:firstLine="426"/>
        <w:spacing w:after="0" w:line="239"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12-month top-line data from the setrusumab Phase 2b dose-ranging study in adult patients</w:t>
      </w:r>
    </w:p>
    <w:p>
      <w:pPr>
        <w:spacing w:after="0" w:line="85" w:lineRule="exact"/>
        <w:rPr>
          <w:sz w:val="20"/>
          <w:szCs w:val="20"/>
          <w:color w:val="auto"/>
        </w:rPr>
      </w:pPr>
    </w:p>
    <w:p>
      <w:pPr>
        <w:ind w:left="380" w:right="460" w:firstLine="426"/>
        <w:spacing w:after="0" w:line="246" w:lineRule="auto"/>
        <w:rPr>
          <w:sz w:val="20"/>
          <w:szCs w:val="20"/>
          <w:color w:val="auto"/>
        </w:rPr>
      </w:pPr>
      <w:r>
        <w:rPr>
          <w:rFonts w:ascii="Arial" w:cs="Arial" w:eastAsia="Arial" w:hAnsi="Arial"/>
          <w:sz w:val="18"/>
          <w:szCs w:val="18"/>
          <w:color w:val="auto"/>
        </w:rPr>
        <w:t>On November 11, 2019, we reported 12-month top-line data from our Phase 2b dose-ranging clinical trial for setrusumab in adults with Type I, III or IV OI.</w:t>
      </w:r>
    </w:p>
    <w:p>
      <w:pPr>
        <w:spacing w:after="0" w:line="197" w:lineRule="exact"/>
        <w:rPr>
          <w:sz w:val="20"/>
          <w:szCs w:val="20"/>
          <w:color w:val="auto"/>
        </w:rPr>
      </w:pPr>
    </w:p>
    <w:p>
      <w:pPr>
        <w:ind w:left="380" w:firstLine="426"/>
        <w:spacing w:after="0" w:line="237" w:lineRule="auto"/>
        <w:rPr>
          <w:sz w:val="20"/>
          <w:szCs w:val="20"/>
          <w:color w:val="auto"/>
        </w:rPr>
      </w:pPr>
      <w:r>
        <w:rPr>
          <w:rFonts w:ascii="Arial" w:cs="Arial" w:eastAsia="Arial" w:hAnsi="Arial"/>
          <w:sz w:val="18"/>
          <w:szCs w:val="18"/>
          <w:color w:val="auto"/>
        </w:rPr>
        <w:t>The primary endpoint of the trial was change in trabecular volumetric bone mineral density (“Tr vBMD”) of the radius (wrist) over baseline after 12 months of treatment as measured by high resolution peripheral quantitative computerized tomography (“HRpQCT”).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w:t>
      </w:r>
    </w:p>
    <w:p>
      <w:pPr>
        <w:spacing w:after="0" w:line="203" w:lineRule="exact"/>
        <w:rPr>
          <w:sz w:val="20"/>
          <w:szCs w:val="20"/>
          <w:color w:val="auto"/>
        </w:rPr>
      </w:pPr>
    </w:p>
    <w:p>
      <w:pPr>
        <w:ind w:left="380" w:right="340"/>
        <w:spacing w:after="0" w:line="237" w:lineRule="auto"/>
        <w:rPr>
          <w:sz w:val="20"/>
          <w:szCs w:val="20"/>
          <w:color w:val="auto"/>
        </w:rPr>
      </w:pPr>
      <w:r>
        <w:rPr>
          <w:rFonts w:ascii="Arial" w:cs="Arial" w:eastAsia="Arial" w:hAnsi="Arial"/>
          <w:sz w:val="18"/>
          <w:szCs w:val="18"/>
          <w:color w:val="auto"/>
        </w:rPr>
        <w:t>Importantly, when the percentage change in trabecular and cortical volumetric bone mineral density (“BMD”) at the wrist were combined (the total volumetric BMD as measured by HRpQCT, a secondary endpoint of the study), an increase in total volumetric BMD was observed and reached statistical significance in the medium and high dose cohorts. Mean increases in total volumetric BMD were 4.11% (p=0.004), 4.5% (p=0.028), and 0.58% (p=0.97) in the high, medium, and low dose cohorts (post hoc analysis), respectively. This suggests total volumetric BMD increases were driven by the ability of setrusumab to increase cortical volumetric BMD.</w:t>
      </w:r>
    </w:p>
    <w:p>
      <w:pPr>
        <w:spacing w:after="0" w:line="205" w:lineRule="exact"/>
        <w:rPr>
          <w:sz w:val="20"/>
          <w:szCs w:val="20"/>
          <w:color w:val="auto"/>
        </w:rPr>
      </w:pPr>
    </w:p>
    <w:p>
      <w:pPr>
        <w:ind w:left="380" w:right="300" w:firstLine="426"/>
        <w:spacing w:after="0" w:line="246" w:lineRule="auto"/>
        <w:rPr>
          <w:sz w:val="20"/>
          <w:szCs w:val="20"/>
          <w:color w:val="auto"/>
        </w:rPr>
      </w:pPr>
      <w:r>
        <w:rPr>
          <w:rFonts w:ascii="Arial" w:cs="Arial" w:eastAsia="Arial" w:hAnsi="Arial"/>
          <w:sz w:val="18"/>
          <w:szCs w:val="18"/>
          <w:color w:val="auto"/>
        </w:rPr>
        <w:t>The study achieved its important secondary endpoint of increase in areal BMD at the lumbar spine at six and 12 months over baseline using dual energy x-ray absorptiometry (“DXA”), a well-established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84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7842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200"/>
        <w:spacing w:after="0" w:line="237" w:lineRule="auto"/>
        <w:rPr>
          <w:sz w:val="20"/>
          <w:szCs w:val="20"/>
          <w:color w:val="auto"/>
        </w:rPr>
      </w:pPr>
      <w:r>
        <w:rPr>
          <w:rFonts w:ascii="Arial" w:cs="Arial" w:eastAsia="Arial" w:hAnsi="Arial"/>
          <w:sz w:val="18"/>
          <w:szCs w:val="18"/>
          <w:color w:val="auto"/>
        </w:rPr>
        <w:t>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205" w:lineRule="exact"/>
        <w:rPr>
          <w:sz w:val="20"/>
          <w:szCs w:val="20"/>
          <w:color w:val="auto"/>
        </w:rPr>
      </w:pPr>
    </w:p>
    <w:p>
      <w:pPr>
        <w:jc w:val="both"/>
        <w:ind w:left="380" w:right="340" w:firstLine="426"/>
        <w:spacing w:after="0" w:line="257" w:lineRule="auto"/>
        <w:rPr>
          <w:sz w:val="20"/>
          <w:szCs w:val="20"/>
          <w:color w:val="auto"/>
        </w:rPr>
      </w:pPr>
      <w:r>
        <w:rPr>
          <w:rFonts w:ascii="Arial" w:cs="Arial" w:eastAsia="Arial" w:hAnsi="Arial"/>
          <w:sz w:val="17"/>
          <w:szCs w:val="17"/>
          <w:color w:val="auto"/>
        </w:rPr>
        <w:t>On January 14, 2020, we reported additional data to the above from our Phase 2b does-ranging clinical trial for setrusumab. This additional data demonstrated a dose dependent increase in bone strength (stiffness and failure load) as measured by Finite Element Analysis (“FEA”). This was a second prespecified primary end point and reached statistical significance in the high dose cohort. FEA is a technique that, based on the HRpQCT, allows for the estimation of physical properties of bone,</w:t>
      </w:r>
    </w:p>
    <w:p>
      <w:pPr>
        <w:spacing w:after="0" w:line="189" w:lineRule="exact"/>
        <w:rPr>
          <w:sz w:val="20"/>
          <w:szCs w:val="20"/>
          <w:color w:val="auto"/>
        </w:rPr>
      </w:pPr>
    </w:p>
    <w:p>
      <w:pPr>
        <w:ind w:left="380" w:firstLine="426"/>
        <w:spacing w:after="0" w:line="239" w:lineRule="auto"/>
        <w:rPr>
          <w:sz w:val="20"/>
          <w:szCs w:val="20"/>
          <w:color w:val="auto"/>
        </w:rPr>
      </w:pPr>
      <w:r>
        <w:rPr>
          <w:rFonts w:ascii="Arial" w:cs="Arial" w:eastAsia="Arial" w:hAnsi="Arial"/>
          <w:sz w:val="18"/>
          <w:szCs w:val="18"/>
          <w:color w:val="auto"/>
        </w:rPr>
        <w:t>We also reported on the end point of Trabecular Bone Score (TBS) at the lumbar spine. Setrusumab demonstrated a statistically significant increase in TBS at both the high (p&lt;0.001) and medium dose cohorts (p&lt;0.001). Trabecular bone score (TBS) is a gray-level texture index determined from patient lumbar spine dual-energy X-ray absorptiometry (DXA) scans that correlates with 3D parameters of trabecular bone architecture thought to help predict fracture.</w:t>
      </w:r>
    </w:p>
    <w:p>
      <w:pPr>
        <w:spacing w:after="0" w:line="202" w:lineRule="exact"/>
        <w:rPr>
          <w:sz w:val="20"/>
          <w:szCs w:val="20"/>
          <w:color w:val="auto"/>
        </w:rPr>
      </w:pPr>
    </w:p>
    <w:p>
      <w:pPr>
        <w:jc w:val="both"/>
        <w:ind w:left="380" w:right="700" w:firstLine="426"/>
        <w:spacing w:after="0"/>
        <w:rPr>
          <w:sz w:val="20"/>
          <w:szCs w:val="20"/>
          <w:color w:val="auto"/>
        </w:rPr>
      </w:pPr>
      <w:r>
        <w:rPr>
          <w:rFonts w:ascii="Arial" w:cs="Arial" w:eastAsia="Arial" w:hAnsi="Arial"/>
          <w:sz w:val="18"/>
          <w:szCs w:val="18"/>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203" w:lineRule="exact"/>
        <w:rPr>
          <w:sz w:val="20"/>
          <w:szCs w:val="20"/>
          <w:color w:val="auto"/>
        </w:rPr>
      </w:pPr>
    </w:p>
    <w:p>
      <w:pPr>
        <w:ind w:left="380" w:firstLine="426"/>
        <w:spacing w:after="0" w:line="237"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United States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American Society of Bone Mineral Research (ASBMR) Annual Meeting in September 2019. Patients in the open-label arm of the study have not yet completed 12 months of treatment with setrusumab, therefore the top-line 12-month results reported on November 11, 2019 and on January 14, 2020 are from the three-arm blinded portion of the study.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Licensing Agreement for Navicixizumab</w:t>
      </w:r>
    </w:p>
    <w:p>
      <w:pPr>
        <w:spacing w:after="0" w:line="85" w:lineRule="exact"/>
        <w:rPr>
          <w:sz w:val="20"/>
          <w:szCs w:val="20"/>
          <w:color w:val="auto"/>
        </w:rPr>
      </w:pPr>
    </w:p>
    <w:p>
      <w:pPr>
        <w:ind w:left="380" w:right="80" w:firstLine="426"/>
        <w:spacing w:after="0" w:line="237" w:lineRule="auto"/>
        <w:rPr>
          <w:sz w:val="20"/>
          <w:szCs w:val="20"/>
          <w:color w:val="auto"/>
        </w:rPr>
      </w:pPr>
      <w:r>
        <w:rPr>
          <w:rFonts w:ascii="Arial" w:cs="Arial" w:eastAsia="Arial" w:hAnsi="Arial"/>
          <w:sz w:val="18"/>
          <w:szCs w:val="18"/>
          <w:color w:val="auto"/>
        </w:rPr>
        <w:t>On January 13, 2020, we entered into a global license agreement with Oncologie, Inc. (“Oncologie”) for the development and commercialization of Navicixizumab (“Navi”),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 In October 2019, the FDA granted Fast Track designation to navicixizumab and has agreed in principle on the design of a study that could potentially support accelerated approval for navicixizumab in a heavily pretreated, platinum-resistant ovarian cancer patient population.</w:t>
      </w:r>
    </w:p>
    <w:p>
      <w:pPr>
        <w:spacing w:after="0" w:line="203" w:lineRule="exact"/>
        <w:rPr>
          <w:sz w:val="20"/>
          <w:szCs w:val="20"/>
          <w:color w:val="auto"/>
        </w:rPr>
      </w:pPr>
    </w:p>
    <w:p>
      <w:pPr>
        <w:ind w:left="380" w:right="100" w:firstLine="426"/>
        <w:spacing w:after="0" w:line="239" w:lineRule="auto"/>
        <w:rPr>
          <w:sz w:val="20"/>
          <w:szCs w:val="20"/>
          <w:color w:val="auto"/>
        </w:rPr>
      </w:pPr>
      <w:r>
        <w:rPr>
          <w:rFonts w:ascii="Arial" w:cs="Arial" w:eastAsia="Arial" w:hAnsi="Arial"/>
          <w:sz w:val="18"/>
          <w:szCs w:val="18"/>
          <w:color w:val="auto"/>
        </w:rPr>
        <w:t>Under the terms of the license agreement, Oncologie will receive an exclusive worldwide license to develop and commercialize Navi. We received an upfront payment of $4.0 million and will receive an additional payment of $2.0 million conditional on a CMC (Chemistry, Manufacturing and Controls) milestone. Oncologie will be responsible for all future research, development and commercialization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47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564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480"/>
        <w:spacing w:after="0"/>
        <w:rPr>
          <w:sz w:val="20"/>
          <w:szCs w:val="20"/>
          <w:color w:val="auto"/>
        </w:rPr>
      </w:pPr>
      <w:r>
        <w:rPr>
          <w:rFonts w:ascii="Arial" w:cs="Arial" w:eastAsia="Arial" w:hAnsi="Arial"/>
          <w:sz w:val="18"/>
          <w:szCs w:val="18"/>
          <w:color w:val="auto"/>
        </w:rPr>
        <w:t>Navi. Additionally, we will be eligible to receive up to $ 300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203" w:lineRule="exact"/>
        <w:rPr>
          <w:sz w:val="20"/>
          <w:szCs w:val="20"/>
          <w:color w:val="auto"/>
        </w:rPr>
      </w:pPr>
    </w:p>
    <w:p>
      <w:pPr>
        <w:ind w:left="380" w:right="40" w:firstLine="426"/>
        <w:spacing w:after="0" w:line="237" w:lineRule="auto"/>
        <w:rPr>
          <w:sz w:val="20"/>
          <w:szCs w:val="20"/>
          <w:color w:val="auto"/>
        </w:rPr>
      </w:pPr>
      <w:r>
        <w:rPr>
          <w:rFonts w:ascii="Arial" w:cs="Arial" w:eastAsia="Arial" w:hAnsi="Arial"/>
          <w:sz w:val="18"/>
          <w:szCs w:val="18"/>
          <w:color w:val="auto"/>
        </w:rPr>
        <w:t>As a consequence of the license agreement with Oncologie, and in accordance with the terms and conditions of the Contingent Value Rights Agreement for former stockholders of OncoMed, dated April 23, 2019, by and between us and Computershare Inc., as rights agent, (the “CVR Agreement”), holders of contingent value rights (“CVRs”) pursuant to the CVR Agreement will be entitled to receive certain eligible cash milestone payments made to us under the license agreement relating to the development and commercialization of Navi. The receipt of the upfront milestone payment of $ 4.0 million by us in January 2020 will result in a payment to CVR holders of approximately 1.2 cents per CVR, a total of approximately $462,748 (after deductions of costs, charges and expenditures). It is expected this distribution will be made to CVR holders by March 17, 2020.</w:t>
      </w:r>
    </w:p>
    <w:p>
      <w:pPr>
        <w:spacing w:after="0" w:line="203" w:lineRule="exact"/>
        <w:rPr>
          <w:sz w:val="20"/>
          <w:szCs w:val="20"/>
          <w:color w:val="auto"/>
        </w:rPr>
      </w:pPr>
    </w:p>
    <w:p>
      <w:pPr>
        <w:ind w:left="380" w:firstLine="426"/>
        <w:spacing w:after="0" w:line="237" w:lineRule="auto"/>
        <w:rPr>
          <w:sz w:val="20"/>
          <w:szCs w:val="20"/>
          <w:color w:val="auto"/>
        </w:rPr>
      </w:pPr>
      <w:r>
        <w:rPr>
          <w:rFonts w:ascii="Arial" w:cs="Arial" w:eastAsia="Arial" w:hAnsi="Arial"/>
          <w:sz w:val="18"/>
          <w:szCs w:val="18"/>
          <w:color w:val="auto"/>
        </w:rPr>
        <w:t>Holders of CVRs pursuant to the CVR Agreement will be entitled to receive additional eligible cash milestone payments made to us under the license agreement relating to Navi. Pursuant to the terms of the CVR Agreement, if a milestone occurs prior to the fifth anniversary of the closing of the Merger, then holders of CVRs will be entitled to receive an amount in cash equal to 70% of the aggregate principal amount received by us after deduction of costs, charges and expenditures. Such milestone payments are also subject to a cash consideration cap, pursuant to which the aggregate principal amount of all cash payments made to holders of CVRs under the CVR Agreement shall in no case exceed $79.7 million.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New Novartis Notes</w:t>
      </w:r>
    </w:p>
    <w:p>
      <w:pPr>
        <w:spacing w:after="0" w:line="85" w:lineRule="exact"/>
        <w:rPr>
          <w:sz w:val="20"/>
          <w:szCs w:val="20"/>
          <w:color w:val="auto"/>
        </w:rPr>
      </w:pPr>
    </w:p>
    <w:p>
      <w:pPr>
        <w:ind w:left="380" w:right="360" w:firstLine="426"/>
        <w:spacing w:after="0"/>
        <w:rPr>
          <w:sz w:val="20"/>
          <w:szCs w:val="20"/>
          <w:color w:val="auto"/>
        </w:rPr>
      </w:pPr>
      <w:r>
        <w:rPr>
          <w:rFonts w:ascii="Arial" w:cs="Arial" w:eastAsia="Arial" w:hAnsi="Arial"/>
          <w:sz w:val="18"/>
          <w:szCs w:val="18"/>
          <w:color w:val="auto"/>
        </w:rPr>
        <w:t>On February 10, 2020, we entered into a £3,841,479 convertible loan note instrument with Novartis Pharma AG (“Novartis”) pursuant to which we issued Novartis 3,841,479 unsecured convertible loan notes (the “New Novartis Notes”) and warrants to purchase 1,449,614 ordinary shares. See “Description of Share Capital and Articles of Association—Novartis Notes”.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8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9" w:lineRule="exact"/>
        <w:rPr>
          <w:sz w:val="20"/>
          <w:szCs w:val="20"/>
          <w:color w:val="auto"/>
        </w:rPr>
      </w:pPr>
    </w:p>
    <w:p>
      <w:pPr>
        <w:ind w:left="380" w:right="10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230" w:lineRule="exact"/>
        <w:rPr>
          <w:sz w:val="20"/>
          <w:szCs w:val="20"/>
          <w:color w:val="auto"/>
        </w:rPr>
      </w:pPr>
    </w:p>
    <w:p>
      <w:pPr>
        <w:ind w:left="5660" w:right="200" w:hanging="4859"/>
        <w:spacing w:after="0" w:line="944" w:lineRule="auto"/>
        <w:tabs>
          <w:tab w:leader="none" w:pos="1202"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 4</w:t>
      </w:r>
    </w:p>
    <w:p>
      <w:pPr>
        <w:sectPr>
          <w:pgSz w:w="11900" w:h="16838" w:orient="portrait"/>
          <w:cols w:equalWidth="0" w:num="1">
            <w:col w:w="10980"/>
          </w:cols>
          <w:pgMar w:left="24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89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3898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0" w:hanging="399"/>
        <w:spacing w:after="0" w:line="223"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200" w:right="100" w:hanging="399"/>
        <w:spacing w:after="0" w:line="218"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200" w:right="360" w:hanging="399"/>
        <w:spacing w:after="0" w:line="223" w:lineRule="auto"/>
        <w:tabs>
          <w:tab w:leader="none" w:pos="12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80" w:right="14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80" w:right="50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80" w:right="18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85" w:lineRule="exact"/>
        <w:rPr>
          <w:sz w:val="20"/>
          <w:szCs w:val="20"/>
          <w:color w:val="auto"/>
        </w:rPr>
      </w:pPr>
    </w:p>
    <w:p>
      <w:pPr>
        <w:ind w:left="380" w:right="6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200" w:right="240" w:hanging="399"/>
        <w:spacing w:after="0" w:line="218" w:lineRule="auto"/>
        <w:tabs>
          <w:tab w:leader="none" w:pos="12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200" w:right="140" w:hanging="399"/>
        <w:spacing w:after="0" w:line="218" w:lineRule="auto"/>
        <w:tabs>
          <w:tab w:leader="none" w:pos="12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200" w:hanging="399"/>
        <w:spacing w:after="0" w:line="218" w:lineRule="auto"/>
        <w:tabs>
          <w:tab w:leader="none" w:pos="12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80" w:right="300" w:firstLine="426"/>
        <w:spacing w:after="0" w:line="239"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2" w:lineRule="exact"/>
        <w:rPr>
          <w:sz w:val="20"/>
          <w:szCs w:val="20"/>
          <w:color w:val="auto"/>
        </w:rPr>
      </w:pPr>
    </w:p>
    <w:p>
      <w:pPr>
        <w:ind w:left="380" w:right="12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459" w:right="67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6007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ADSs offered by the selling shareholder:</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Ordinary shares outstanding</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American Depositary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Offering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Up to 17,902,082 ADSs, each representing five (5) ordinary shares.</w:t>
      </w:r>
    </w:p>
    <w:p>
      <w:pPr>
        <w:spacing w:after="0" w:line="25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112,255,142 ordinary shares as of February 11, 2020, including ordinary shares in the form of ADSs.</w:t>
      </w:r>
    </w:p>
    <w:p>
      <w:pPr>
        <w:spacing w:after="0" w:line="22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Each ADS represents five (5) ordinary shares, nominal value £0.003 per ordinary share. As an ADS holder, you will not be treated as one of our shareholders and you will not have shareholder rights. You will have the rights of an ADS holder or beneficial owner of ADSs as provided in the deposit agreement among us, the depositary, and all holders and beneficial owners of ADSs issued thereunder. To better understand the terms of our ADSs, see “Description of American Depositary Shares.” We also encourage you to read the deposit agreement, the form of which is filed as an exhibit to the registration statement of which this prospectus forms a part.</w:t>
      </w:r>
    </w:p>
    <w:p>
      <w:pPr>
        <w:spacing w:after="0" w:line="200" w:lineRule="exact"/>
        <w:rPr>
          <w:sz w:val="20"/>
          <w:szCs w:val="20"/>
          <w:color w:val="auto"/>
        </w:rPr>
      </w:pPr>
    </w:p>
    <w:p>
      <w:pPr>
        <w:sectPr>
          <w:pgSz w:w="11900" w:h="16838" w:orient="portrait"/>
          <w:cols w:equalWidth="0" w:num="2">
            <w:col w:w="4240" w:space="720"/>
            <w:col w:w="6280"/>
          </w:cols>
          <w:pgMar w:left="240" w:top="459" w:right="419" w:bottom="1440" w:gutter="0" w:footer="0" w:header="0"/>
          <w:type w:val="continuous"/>
        </w:sectPr>
      </w:pPr>
    </w:p>
    <w:p>
      <w:pPr>
        <w:spacing w:after="0" w:line="34"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340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7640" w:type="dxa"/>
            <w:vAlign w:val="bottom"/>
          </w:tcPr>
          <w:p>
            <w:pPr>
              <w:ind w:left="1360"/>
              <w:spacing w:after="0"/>
              <w:rPr>
                <w:sz w:val="20"/>
                <w:szCs w:val="20"/>
                <w:color w:val="auto"/>
              </w:rPr>
            </w:pPr>
            <w:r>
              <w:rPr>
                <w:rFonts w:ascii="Arial" w:cs="Arial" w:eastAsia="Arial" w:hAnsi="Arial"/>
                <w:sz w:val="18"/>
                <w:szCs w:val="18"/>
                <w:color w:val="auto"/>
              </w:rPr>
              <w:t>Citibank, N.A.</w:t>
            </w:r>
          </w:p>
        </w:tc>
      </w:tr>
      <w:tr>
        <w:trPr>
          <w:trHeight w:val="445"/>
        </w:trPr>
        <w:tc>
          <w:tcPr>
            <w:tcW w:w="34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640" w:type="dxa"/>
            <w:vAlign w:val="bottom"/>
          </w:tcPr>
          <w:p>
            <w:pPr>
              <w:ind w:left="1360"/>
              <w:spacing w:after="0"/>
              <w:rPr>
                <w:sz w:val="20"/>
                <w:szCs w:val="20"/>
                <w:color w:val="auto"/>
              </w:rPr>
            </w:pPr>
            <w:r>
              <w:rPr>
                <w:rFonts w:ascii="Arial" w:cs="Arial" w:eastAsia="Arial" w:hAnsi="Arial"/>
                <w:sz w:val="18"/>
                <w:szCs w:val="18"/>
                <w:color w:val="auto"/>
              </w:rPr>
              <w:t>The selling shareholder will receive all of the proceeds from the sale of the</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ADSs offered for sale by it under this prospectus. We will not receive</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proceeds from the sale of the ADSs by the selling shareholder. However, we</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may receive up to $28.0 million in proceeds from the sale of our ordinary</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shares exchangeable for ADSs to the selling shareholder under the</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Purchase Agreement described below, which includes the $3.0 million that</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we received from the selling shareholder for the sale of 11,432,925 ordinary</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shares exchangeable for 2,286,585 ADSs to the selling shareholder. We</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intend to use any proceeds from the selling shareholder that we received</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under the Purchase Agreement, together with our existing cash, short-term</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deposits and short-term investments, to advance the clinical development of</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setrusumab and alvelestat, and the remainder to fund general research and</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development activities, working capital and other general corporate</w:t>
            </w:r>
          </w:p>
        </w:tc>
      </w:tr>
      <w:tr>
        <w:trPr>
          <w:trHeight w:val="217"/>
        </w:trPr>
        <w:tc>
          <w:tcPr>
            <w:tcW w:w="3400" w:type="dxa"/>
            <w:vAlign w:val="bottom"/>
          </w:tcPr>
          <w:p>
            <w:pPr>
              <w:spacing w:after="0"/>
              <w:rPr>
                <w:sz w:val="18"/>
                <w:szCs w:val="18"/>
                <w:color w:val="auto"/>
              </w:rPr>
            </w:pPr>
          </w:p>
        </w:tc>
        <w:tc>
          <w:tcPr>
            <w:tcW w:w="7640" w:type="dxa"/>
            <w:vAlign w:val="bottom"/>
          </w:tcPr>
          <w:p>
            <w:pPr>
              <w:ind w:left="1360"/>
              <w:spacing w:after="0"/>
              <w:rPr>
                <w:sz w:val="20"/>
                <w:szCs w:val="20"/>
                <w:color w:val="auto"/>
              </w:rPr>
            </w:pPr>
            <w:r>
              <w:rPr>
                <w:rFonts w:ascii="Arial" w:cs="Arial" w:eastAsia="Arial" w:hAnsi="Arial"/>
                <w:sz w:val="18"/>
                <w:szCs w:val="18"/>
                <w:color w:val="auto"/>
              </w:rPr>
              <w:t>purposes. See “Use of Proceeds.”</w:t>
            </w:r>
          </w:p>
        </w:tc>
      </w:tr>
      <w:tr>
        <w:trPr>
          <w:trHeight w:val="431"/>
        </w:trPr>
        <w:tc>
          <w:tcPr>
            <w:tcW w:w="340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640" w:type="dxa"/>
            <w:vAlign w:val="bottom"/>
          </w:tcPr>
          <w:p>
            <w:pPr>
              <w:ind w:left="1360"/>
              <w:spacing w:after="0"/>
              <w:rPr>
                <w:sz w:val="20"/>
                <w:szCs w:val="20"/>
                <w:color w:val="auto"/>
              </w:rPr>
            </w:pPr>
            <w:r>
              <w:rPr>
                <w:rFonts w:ascii="Arial" w:cs="Arial" w:eastAsia="Arial" w:hAnsi="Arial"/>
                <w:sz w:val="18"/>
                <w:szCs w:val="18"/>
                <w:color w:val="auto"/>
              </w:rPr>
              <w:t>See “Risk Factors” and the other information included in this prospectus for</w:t>
            </w:r>
          </w:p>
        </w:tc>
      </w:tr>
      <w:tr>
        <w:trPr>
          <w:trHeight w:val="203"/>
        </w:trPr>
        <w:tc>
          <w:tcPr>
            <w:tcW w:w="3400" w:type="dxa"/>
            <w:vAlign w:val="bottom"/>
          </w:tcPr>
          <w:p>
            <w:pPr>
              <w:spacing w:after="0"/>
              <w:rPr>
                <w:sz w:val="17"/>
                <w:szCs w:val="17"/>
                <w:color w:val="auto"/>
              </w:rPr>
            </w:pPr>
          </w:p>
        </w:tc>
        <w:tc>
          <w:tcPr>
            <w:tcW w:w="7640" w:type="dxa"/>
            <w:vAlign w:val="bottom"/>
          </w:tcPr>
          <w:p>
            <w:pPr>
              <w:ind w:left="1360"/>
              <w:spacing w:after="0" w:line="202" w:lineRule="exact"/>
              <w:rPr>
                <w:sz w:val="20"/>
                <w:szCs w:val="20"/>
                <w:color w:val="auto"/>
              </w:rPr>
            </w:pPr>
            <w:r>
              <w:rPr>
                <w:rFonts w:ascii="Arial" w:cs="Arial" w:eastAsia="Arial" w:hAnsi="Arial"/>
                <w:sz w:val="18"/>
                <w:szCs w:val="18"/>
                <w:color w:val="auto"/>
              </w:rPr>
              <w:t>a discussion of factors you should consider before deciding to invest in our</w:t>
            </w:r>
          </w:p>
        </w:tc>
      </w:tr>
      <w:tr>
        <w:trPr>
          <w:trHeight w:val="217"/>
        </w:trPr>
        <w:tc>
          <w:tcPr>
            <w:tcW w:w="3400" w:type="dxa"/>
            <w:vAlign w:val="bottom"/>
          </w:tcPr>
          <w:p>
            <w:pPr>
              <w:spacing w:after="0"/>
              <w:rPr>
                <w:sz w:val="18"/>
                <w:szCs w:val="18"/>
                <w:color w:val="auto"/>
              </w:rPr>
            </w:pPr>
          </w:p>
        </w:tc>
        <w:tc>
          <w:tcPr>
            <w:tcW w:w="7640" w:type="dxa"/>
            <w:vAlign w:val="bottom"/>
          </w:tcPr>
          <w:p>
            <w:pPr>
              <w:ind w:left="1360"/>
              <w:spacing w:after="0"/>
              <w:rPr>
                <w:sz w:val="20"/>
                <w:szCs w:val="20"/>
                <w:color w:val="auto"/>
              </w:rPr>
            </w:pPr>
            <w:r>
              <w:rPr>
                <w:rFonts w:ascii="Arial" w:cs="Arial" w:eastAsia="Arial" w:hAnsi="Arial"/>
                <w:sz w:val="18"/>
                <w:szCs w:val="18"/>
                <w:color w:val="auto"/>
              </w:rPr>
              <w:t>ADSs.</w:t>
            </w:r>
          </w:p>
        </w:tc>
      </w:tr>
      <w:tr>
        <w:trPr>
          <w:trHeight w:val="446"/>
        </w:trPr>
        <w:tc>
          <w:tcPr>
            <w:tcW w:w="3400" w:type="dxa"/>
            <w:vAlign w:val="bottom"/>
          </w:tcPr>
          <w:p>
            <w:pPr>
              <w:ind w:left="180"/>
              <w:spacing w:after="0"/>
              <w:rPr>
                <w:sz w:val="20"/>
                <w:szCs w:val="20"/>
                <w:color w:val="auto"/>
              </w:rPr>
            </w:pPr>
            <w:r>
              <w:rPr>
                <w:rFonts w:ascii="Arial" w:cs="Arial" w:eastAsia="Arial" w:hAnsi="Arial"/>
                <w:sz w:val="18"/>
                <w:szCs w:val="18"/>
                <w:color w:val="auto"/>
              </w:rPr>
              <w:t>Nasdaq trading symbol</w:t>
            </w:r>
          </w:p>
        </w:tc>
        <w:tc>
          <w:tcPr>
            <w:tcW w:w="7640" w:type="dxa"/>
            <w:vAlign w:val="bottom"/>
          </w:tcPr>
          <w:p>
            <w:pPr>
              <w:ind w:left="1360"/>
              <w:spacing w:after="0"/>
              <w:rPr>
                <w:sz w:val="20"/>
                <w:szCs w:val="20"/>
                <w:color w:val="auto"/>
              </w:rPr>
            </w:pPr>
            <w:r>
              <w:rPr>
                <w:rFonts w:ascii="Arial" w:cs="Arial" w:eastAsia="Arial" w:hAnsi="Arial"/>
                <w:sz w:val="18"/>
                <w:szCs w:val="18"/>
                <w:color w:val="auto"/>
              </w:rPr>
              <w:t>“MREO”</w:t>
            </w:r>
          </w:p>
        </w:tc>
      </w:tr>
      <w:tr>
        <w:trPr>
          <w:trHeight w:val="459"/>
        </w:trPr>
        <w:tc>
          <w:tcPr>
            <w:tcW w:w="3400" w:type="dxa"/>
            <w:vAlign w:val="bottom"/>
          </w:tcPr>
          <w:p>
            <w:pPr>
              <w:ind w:left="180"/>
              <w:spacing w:after="0"/>
              <w:rPr>
                <w:sz w:val="20"/>
                <w:szCs w:val="20"/>
                <w:color w:val="auto"/>
              </w:rPr>
            </w:pPr>
            <w:r>
              <w:rPr>
                <w:rFonts w:ascii="Arial" w:cs="Arial" w:eastAsia="Arial" w:hAnsi="Arial"/>
                <w:sz w:val="18"/>
                <w:szCs w:val="18"/>
                <w:color w:val="auto"/>
              </w:rPr>
              <w:t>AIM trading symbol</w:t>
            </w:r>
          </w:p>
        </w:tc>
        <w:tc>
          <w:tcPr>
            <w:tcW w:w="7640" w:type="dxa"/>
            <w:vAlign w:val="bottom"/>
          </w:tcPr>
          <w:p>
            <w:pPr>
              <w:ind w:left="1360"/>
              <w:spacing w:after="0"/>
              <w:rPr>
                <w:sz w:val="20"/>
                <w:szCs w:val="20"/>
                <w:color w:val="auto"/>
              </w:rPr>
            </w:pPr>
            <w:r>
              <w:rPr>
                <w:rFonts w:ascii="Arial" w:cs="Arial" w:eastAsia="Arial" w:hAnsi="Arial"/>
                <w:sz w:val="18"/>
                <w:szCs w:val="18"/>
                <w:color w:val="auto"/>
              </w:rPr>
              <w:t>“MPH”</w:t>
            </w:r>
          </w:p>
        </w:tc>
      </w:tr>
      <w:tr>
        <w:trPr>
          <w:trHeight w:val="240"/>
        </w:trPr>
        <w:tc>
          <w:tcPr>
            <w:tcW w:w="340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spacing w:after="0"/>
              <w:rPr>
                <w:sz w:val="20"/>
                <w:szCs w:val="20"/>
                <w:color w:val="auto"/>
              </w:rPr>
            </w:pPr>
          </w:p>
        </w:tc>
      </w:tr>
      <w:tr>
        <w:trPr>
          <w:trHeight w:val="604"/>
        </w:trPr>
        <w:tc>
          <w:tcPr>
            <w:tcW w:w="3400" w:type="dxa"/>
            <w:vAlign w:val="bottom"/>
          </w:tcPr>
          <w:p>
            <w:pPr>
              <w:spacing w:after="0"/>
              <w:rPr>
                <w:sz w:val="24"/>
                <w:szCs w:val="24"/>
                <w:color w:val="auto"/>
              </w:rPr>
            </w:pPr>
          </w:p>
        </w:tc>
        <w:tc>
          <w:tcPr>
            <w:tcW w:w="7640" w:type="dxa"/>
            <w:vAlign w:val="bottom"/>
          </w:tcPr>
          <w:p>
            <w:pPr>
              <w:ind w:left="20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66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firstLine="426"/>
        <w:spacing w:after="0" w:line="236" w:lineRule="auto"/>
        <w:rPr>
          <w:sz w:val="20"/>
          <w:szCs w:val="20"/>
          <w:color w:val="auto"/>
        </w:rPr>
      </w:pPr>
      <w:r>
        <w:rPr>
          <w:rFonts w:ascii="Arial" w:cs="Arial" w:eastAsia="Arial" w:hAnsi="Arial"/>
          <w:sz w:val="18"/>
          <w:szCs w:val="18"/>
          <w:color w:val="auto"/>
        </w:rPr>
        <w:t>On February 10, 2020, we entered into a Purchase Agreement with Aspire Capital Fund, LLC, an Illinois limited liability company (referred to in this prospectus as “Aspire Capital” or the “selling shareholder”),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the Initial Shares of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the Commission Shares of 2,862,595 ordinary shares that are exchangeable for 572,519 ADSs. Concurrently with entering into the Purchase Agreement, we also entered into a registration rights agreement with Aspire Capital (referred to in this prospectus as the “Registration Rights Agreement”), in which we agreed to file one or more registration statements, including the registration statement of which this prospectus is a part, as permissible and necessary to register under the Securities Act, the sale of the ADSs that have been and may be issued to Aspire Capital under the Purchase Agreement.</w:t>
      </w:r>
    </w:p>
    <w:p>
      <w:pPr>
        <w:spacing w:after="0" w:line="205" w:lineRule="exact"/>
        <w:rPr>
          <w:sz w:val="20"/>
          <w:szCs w:val="20"/>
          <w:color w:val="auto"/>
        </w:rPr>
      </w:pPr>
    </w:p>
    <w:p>
      <w:pPr>
        <w:ind w:left="380" w:right="40" w:firstLine="426"/>
        <w:spacing w:after="0" w:line="237" w:lineRule="auto"/>
        <w:rPr>
          <w:sz w:val="20"/>
          <w:szCs w:val="20"/>
          <w:color w:val="auto"/>
        </w:rPr>
      </w:pPr>
      <w:r>
        <w:rPr>
          <w:rFonts w:ascii="Arial" w:cs="Arial" w:eastAsia="Arial" w:hAnsi="Arial"/>
          <w:sz w:val="18"/>
          <w:szCs w:val="18"/>
          <w:color w:val="auto"/>
        </w:rPr>
        <w:t>As of February 11, 2020, there were 112,255,142 ordinary shares outstanding (approximately 35% held by non-affiliates), which includes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$300,000 due to Aspire Capital under the Purchase Agreement, and excludes the $25.0 million worth of our ordinary shares that are exchangeable for ADSs issuable to Aspire Capital pursuant to the Purchase Agreement. The number of ADSs representing ordinary shares ultimately offered for sale by Aspire Capital is dependent upon the number of ADSs purchased by Aspire Capital under the Purchase Agreement.</w:t>
      </w:r>
    </w:p>
    <w:p>
      <w:pPr>
        <w:spacing w:after="0" w:line="203" w:lineRule="exact"/>
        <w:rPr>
          <w:sz w:val="20"/>
          <w:szCs w:val="20"/>
          <w:color w:val="auto"/>
        </w:rPr>
      </w:pPr>
    </w:p>
    <w:p>
      <w:pPr>
        <w:ind w:left="380" w:right="60" w:firstLine="426"/>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$300,000 due to Aspire Capital under the Purchase Agreement, and (iii) up to $25.0 million worth of ordinary shares that are exchangeable for ADSs that we may issue to Aspire Capital after this registration statement is declared effective under the Securities Act. All of ADSs representing ordinary shares issuable to Aspire Capital under the Purchase Agreement are being offered pursuant to this prospectus.</w:t>
      </w:r>
    </w:p>
    <w:p>
      <w:pPr>
        <w:spacing w:after="0" w:line="208" w:lineRule="exact"/>
        <w:rPr>
          <w:sz w:val="20"/>
          <w:szCs w:val="20"/>
          <w:color w:val="auto"/>
        </w:rPr>
      </w:pPr>
    </w:p>
    <w:p>
      <w:pPr>
        <w:ind w:left="380" w:right="60" w:firstLine="426"/>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$ 0.25 per share, we have the right, in our sole discretion, to present Aspire Capital with a purchase notice (each, a “Purchase Notice”), directing Aspire Capital (as principal) to purchase up to 150,000 ADSs per business day, up to $25.0 million worth of our ordinary shares that are exchangeable for ADSs in the aggregate over the term of the Purchase Agreement, at a per ADS price (the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3" w:lineRule="exact"/>
        <w:rPr>
          <w:sz w:val="20"/>
          <w:szCs w:val="20"/>
          <w:color w:val="auto"/>
        </w:rPr>
      </w:pPr>
    </w:p>
    <w:p>
      <w:pPr>
        <w:ind w:left="380" w:right="280" w:firstLine="426"/>
        <w:spacing w:after="0" w:line="246" w:lineRule="auto"/>
        <w:rPr>
          <w:sz w:val="20"/>
          <w:szCs w:val="20"/>
          <w:color w:val="auto"/>
        </w:rPr>
      </w:pPr>
      <w:r>
        <w:rPr>
          <w:rFonts w:ascii="Arial" w:cs="Arial" w:eastAsia="Arial" w:hAnsi="Arial"/>
          <w:sz w:val="18"/>
          <w:szCs w:val="18"/>
          <w:color w:val="auto"/>
        </w:rPr>
        <w:t>In addition, on any date on which we submit a Purchase Notice to Aspire Capital for at least 150,000 ADSs, we also have the right, in our sole discretion, to present Aspire Capital with a volume-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482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24828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20"/>
        <w:spacing w:after="0" w:line="237" w:lineRule="auto"/>
        <w:rPr>
          <w:sz w:val="20"/>
          <w:szCs w:val="20"/>
          <w:color w:val="auto"/>
        </w:rPr>
      </w:pPr>
      <w:r>
        <w:rPr>
          <w:rFonts w:ascii="Arial" w:cs="Arial" w:eastAsia="Arial" w:hAnsi="Arial"/>
          <w:sz w:val="18"/>
          <w:szCs w:val="18"/>
          <w:color w:val="auto"/>
        </w:rPr>
        <w:t>weighted average price purchase notice (each, a “VWAP Purchase Notice”) directing Aspire Capital to purchase an amount of ADSs equal to up to 30% of the aggregate of the Company’s ADSs traded on the Nasdaq on the next business day (the “VWAP Purchase Date”) but not more than 250,000 ADSs, subject to a maximum number of ADSs we may determine (the “VWAP Purchase ADS Volume Maximum”) and a minimum trading price (the “VWAP Minimum Price Threshold”) (as more specifically described below). The purchase price per ADS pursuant to such VWAP Purchase Notice (the “VWAP Purchase Price”) is calculated by reference to the prevailing market price of our ADSs (as more specifically described below).</w:t>
      </w:r>
    </w:p>
    <w:p>
      <w:pPr>
        <w:spacing w:after="0" w:line="205" w:lineRule="exact"/>
        <w:rPr>
          <w:sz w:val="20"/>
          <w:szCs w:val="20"/>
          <w:color w:val="auto"/>
        </w:rPr>
      </w:pPr>
    </w:p>
    <w:p>
      <w:pPr>
        <w:ind w:left="380" w:firstLine="426"/>
        <w:spacing w:after="0" w:line="236" w:lineRule="auto"/>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 than $0.25 per ADS (the “Floor Price”). This Floor Price and the respective prices and ADS numbers in the preceding paragraphs shall be appropriately adjusted for any reorganization, recapitalization, non-cash dividend, stock split, reverse stock split or other similar transaction. There are no trading volume requirements or restrictions under the Purchase 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24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441"/>
        <w:spacing w:after="0"/>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contained in and incorporated by reference in this prospectus before making an investment in our ADSs. Our business, financial condition, results of operation, or prospects could be materially and adversely affected if any of these risks occurs, and as a result, the market price of our ADSs could decline and you could lose all or part of your investment. This prospectus and the documents incorporated by reference herein also contain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99"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We are a multi-asset, clinical-stage biopharmaceutical company with a limited operating history, and have incurred significant operating losses since our formation. We had net losses of £16.2 million in the six months ended June 30, 2019 (£17.0 million in the six months ended June 30, 2018), and £32.0 million, £38.8 million and £28.4 million, in the years ended December 31, 2018, 2017 and 2016, respectively. As of June 30, 2019, we had an accumulated net loss of £127.4 million (£111.2 million as of December 31, 2018).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potentially commercialize our product candidates. We anticipate that our expenses will increase substantially as we:</w:t>
      </w:r>
    </w:p>
    <w:p>
      <w:pPr>
        <w:spacing w:after="0" w:line="235" w:lineRule="exact"/>
        <w:rPr>
          <w:sz w:val="20"/>
          <w:szCs w:val="20"/>
          <w:color w:val="auto"/>
        </w:rPr>
      </w:pPr>
    </w:p>
    <w:p>
      <w:pPr>
        <w:ind w:left="1060" w:right="40" w:hanging="424"/>
        <w:spacing w:after="0" w:line="223"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2b clinical trial of setrusumab for the treatment of osteogenesis imperfecta (“OI”), which currently involves a 12-month period during which the off-effects of setrusumab will be examined following the top-line data read out in 2019;</w:t>
      </w:r>
    </w:p>
    <w:p>
      <w:pPr>
        <w:spacing w:after="0" w:line="28" w:lineRule="exact"/>
        <w:rPr>
          <w:rFonts w:ascii="MS PGothic" w:cs="MS PGothic" w:eastAsia="MS PGothic" w:hAnsi="MS PGothic"/>
          <w:sz w:val="25"/>
          <w:szCs w:val="25"/>
          <w:color w:val="auto"/>
          <w:vertAlign w:val="superscript"/>
        </w:rPr>
      </w:pPr>
    </w:p>
    <w:p>
      <w:pPr>
        <w:ind w:left="1060" w:right="400" w:hanging="424"/>
        <w:spacing w:after="0" w:line="218"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 clinical trial of alvelestat for the treatment of severe alpha-1 antitrypsin deficiency (“AATD”);</w:t>
      </w:r>
    </w:p>
    <w:p>
      <w:pPr>
        <w:spacing w:after="0" w:line="27" w:lineRule="exact"/>
        <w:rPr>
          <w:rFonts w:ascii="MS PGothic" w:cs="MS PGothic" w:eastAsia="MS PGothic" w:hAnsi="MS PGothic"/>
          <w:sz w:val="25"/>
          <w:szCs w:val="25"/>
          <w:color w:val="auto"/>
          <w:vertAlign w:val="superscript"/>
        </w:rPr>
      </w:pPr>
    </w:p>
    <w:p>
      <w:pPr>
        <w:ind w:left="1060" w:right="480" w:hanging="424"/>
        <w:spacing w:after="0" w:line="218"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prepare for a pivotal trial of setrusumab in Europe and Canada in children with severe OI in 2020, with fracture rate as the primary endpoint;</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acquire additional novel product candidates to treat rare diseases;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our product candidates;</w:t>
      </w:r>
    </w:p>
    <w:p>
      <w:pPr>
        <w:spacing w:after="0" w:line="26" w:lineRule="exact"/>
        <w:rPr>
          <w:rFonts w:ascii="MS PGothic" w:cs="MS PGothic" w:eastAsia="MS PGothic" w:hAnsi="MS PGothic"/>
          <w:sz w:val="25"/>
          <w:szCs w:val="25"/>
          <w:color w:val="auto"/>
          <w:vertAlign w:val="superscript"/>
        </w:rPr>
      </w:pPr>
    </w:p>
    <w:p>
      <w:pPr>
        <w:ind w:left="1060" w:right="480" w:hanging="424"/>
        <w:spacing w:after="0" w:line="218"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commercial infrastructure and work with contract manufacturing organizations (“CMOs”) to scale up manufacturing processes to commercialize or co-commercialize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 expand, and protect our intellectual property portfolio;</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 maintain, or obtain freedom to operate for our technologies and product candidates;</w:t>
      </w:r>
    </w:p>
    <w:p>
      <w:pPr>
        <w:spacing w:after="0" w:line="26" w:lineRule="exact"/>
        <w:rPr>
          <w:rFonts w:ascii="MS PGothic" w:cs="MS PGothic" w:eastAsia="MS PGothic" w:hAnsi="MS PGothic"/>
          <w:sz w:val="25"/>
          <w:szCs w:val="25"/>
          <w:color w:val="auto"/>
          <w:vertAlign w:val="superscript"/>
        </w:rPr>
      </w:pPr>
    </w:p>
    <w:p>
      <w:pPr>
        <w:ind w:left="1060" w:right="300" w:hanging="424"/>
        <w:spacing w:after="0" w:line="218"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or co-commercialization efforts; and</w:t>
      </w:r>
    </w:p>
    <w:p>
      <w:pPr>
        <w:spacing w:after="0" w:line="27" w:lineRule="exact"/>
        <w:rPr>
          <w:rFonts w:ascii="MS PGothic" w:cs="MS PGothic" w:eastAsia="MS PGothic" w:hAnsi="MS PGothic"/>
          <w:sz w:val="25"/>
          <w:szCs w:val="25"/>
          <w:color w:val="auto"/>
          <w:vertAlign w:val="superscript"/>
        </w:rPr>
      </w:pPr>
    </w:p>
    <w:p>
      <w:pPr>
        <w:ind w:left="1060" w:right="400" w:hanging="424"/>
        <w:spacing w:after="0" w:line="218" w:lineRule="auto"/>
        <w:tabs>
          <w:tab w:leader="none" w:pos="106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operations in the United Kingdom and potentially hire additional employees in the United States and in Europe, territories where we anticipate direct commercialization or commercialization with a partner.</w:t>
      </w:r>
    </w:p>
    <w:p>
      <w:pPr>
        <w:spacing w:after="0" w:line="203"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60" w:firstLine="441"/>
        <w:spacing w:after="0"/>
        <w:rPr>
          <w:sz w:val="20"/>
          <w:szCs w:val="20"/>
          <w:color w:val="auto"/>
        </w:rPr>
      </w:pPr>
      <w:r>
        <w:rPr>
          <w:rFonts w:ascii="Arial" w:cs="Arial" w:eastAsia="Arial" w:hAnsi="Arial"/>
          <w:sz w:val="18"/>
          <w:szCs w:val="18"/>
          <w:color w:val="auto"/>
        </w:rPr>
        <w:t>We have devoted substantially all of our financial resources and efforts to the acquisition and clinical development of our product candidates. We have not completed the clinical development of any product through approval and have never generated any product revenue.</w:t>
      </w:r>
    </w:p>
    <w:p>
      <w:pPr>
        <w:spacing w:after="0" w:line="203" w:lineRule="exact"/>
        <w:rPr>
          <w:sz w:val="20"/>
          <w:szCs w:val="20"/>
          <w:color w:val="auto"/>
        </w:rPr>
      </w:pPr>
    </w:p>
    <w:p>
      <w:pPr>
        <w:ind w:left="200" w:right="120" w:firstLine="441"/>
        <w:spacing w:after="0" w:line="253" w:lineRule="auto"/>
        <w:rPr>
          <w:sz w:val="20"/>
          <w:szCs w:val="20"/>
          <w:color w:val="auto"/>
        </w:rPr>
      </w:pPr>
      <w:r>
        <w:rPr>
          <w:rFonts w:ascii="Arial" w:cs="Arial" w:eastAsia="Arial" w:hAnsi="Arial"/>
          <w:sz w:val="17"/>
          <w:szCs w:val="17"/>
          <w:color w:val="auto"/>
        </w:rPr>
        <w:t>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19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8"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do not obtain adequate and timely funding, we may not be able to continue as a going concern.</w:t>
      </w:r>
    </w:p>
    <w:p>
      <w:pPr>
        <w:spacing w:after="0" w:line="99"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Under the current business plan and cash flow forecasts, with ongoing research and development efforts focused on our rare disease product candidates, setrusumab and alvelestat, and taking into account the funds raised from Novartis and Aspire Capital, together with other current short-term initiatives including the successful finalization of the current HM Revenue &amp; Customs (“HMRC”) enquiries in respect of our research and development tax claim relating to fiscal year 2018, we expect that our cash resources will extend to the end of the first half of 2020. Therefore, we will need additional external funding by the end of the first half of 2020 to be able to continue as a going concern.</w:t>
      </w:r>
    </w:p>
    <w:p>
      <w:pPr>
        <w:spacing w:after="0" w:line="205"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We will seek to obtain such funding from further equity financings, collaborations, licensing arrangements and potentially from the utilization of all or part of the additional $25.0 million we may receive from Aspire Capital pursuant to the Purchase Agreement, additional or restructured debt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facilities or other sources. We also intend to raise additional equity capital in one or more transactions with institutional investors on terms substantially similar to the terms of Aspire Capital’s purchase of the Initial Shares. There is no guarantee that future funding will be available in sufficient amounts or on terms acceptable to us, if at all. If we are unable to raise sufficient external funding when needed, we could be forced to delay, reduce or eliminate our intended activities.</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unaudited interim consolidated financial statements as of and for the six-month period ended June 30, 2019 incorporated by reference into this prospectus have been prepared on a going concern basis; however, they make reference to a material uncertainty as to our ability to continue as a going concern because further funding was not committed at the date of approval of those unaudited interim consolidated financial statements. In addition, as only limited additional funding from the New Novartis Notes and the Purchase Agreement with Aspire Capital has been secured as at the date of this prospectus, there remains a material uncertainty as to our ability to continue as a going concern. If we are unable to obtain adequate and timely funding such that the going concern basis of preparation were no longer appropriate, we would be required to make adjustments to our financial statements, which adjustments could include significant reductions in the balance sheet values of our assets to their recoverable amounts and the recognition of significant provisions for further liabilities that might arise.</w:t>
      </w:r>
    </w:p>
    <w:p>
      <w:pPr>
        <w:spacing w:after="0" w:line="185"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61"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60" w:right="200" w:hanging="424"/>
        <w:spacing w:after="0" w:line="218"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and our planned pivotal pediatric study for setrusumab and our ongoing Phase 2 clinical trial for alvelestat;</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1060" w:right="260" w:hanging="424"/>
        <w:spacing w:after="0" w:line="218"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1060" w:right="220" w:hanging="424"/>
        <w:spacing w:after="0" w:line="218"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1060" w:right="60" w:hanging="424"/>
        <w:spacing w:after="0" w:line="223"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2"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1060" w:right="100" w:hanging="424"/>
        <w:spacing w:after="0" w:line="218" w:lineRule="auto"/>
        <w:tabs>
          <w:tab w:leader="none" w:pos="10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60" w:hanging="424"/>
        <w:spacing w:after="0"/>
        <w:tabs>
          <w:tab w:leader="none" w:pos="106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 AB; and</w:t>
      </w:r>
    </w:p>
    <w:p>
      <w:pPr>
        <w:spacing w:after="0" w:line="26" w:lineRule="exact"/>
        <w:rPr>
          <w:rFonts w:ascii="MS PGothic" w:cs="MS PGothic" w:eastAsia="MS PGothic" w:hAnsi="MS PGothic"/>
          <w:sz w:val="25"/>
          <w:szCs w:val="25"/>
          <w:color w:val="auto"/>
          <w:vertAlign w:val="superscript"/>
        </w:rPr>
      </w:pPr>
    </w:p>
    <w:p>
      <w:pPr>
        <w:ind w:left="1060" w:right="500" w:hanging="424"/>
        <w:spacing w:after="0" w:line="218" w:lineRule="auto"/>
        <w:tabs>
          <w:tab w:leader="none" w:pos="106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satisfy HMRC’s enquiries with respect to our fiscal year 2018 research and development tax credit claim and claims in respect of fiscal year 2019 and future years.</w:t>
      </w:r>
    </w:p>
    <w:p>
      <w:pPr>
        <w:spacing w:after="0" w:line="203" w:lineRule="exact"/>
        <w:rPr>
          <w:sz w:val="20"/>
          <w:szCs w:val="20"/>
          <w:color w:val="auto"/>
        </w:rPr>
      </w:pPr>
    </w:p>
    <w:p>
      <w:pPr>
        <w:ind w:left="200" w:right="480" w:firstLine="441"/>
        <w:spacing w:after="0" w:line="246" w:lineRule="auto"/>
        <w:rPr>
          <w:sz w:val="20"/>
          <w:szCs w:val="20"/>
          <w:color w:val="auto"/>
        </w:rPr>
      </w:pPr>
      <w:r>
        <w:rPr>
          <w:rFonts w:ascii="Arial" w:cs="Arial" w:eastAsia="Arial" w:hAnsi="Arial"/>
          <w:sz w:val="18"/>
          <w:szCs w:val="18"/>
          <w:color w:val="auto"/>
        </w:rPr>
        <w:t>Furthermore, we expect to incur additional costs associated with operating as a public company in the United Kingdom and the United States and maintaining a quotation and listing, respectively, on the AIM and Nasdaq.</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Accordingly, we will need to obtain substantial additional funding in connection with our continuing operations.</w:t>
      </w:r>
    </w:p>
    <w:p>
      <w:pPr>
        <w:spacing w:after="0" w:line="212"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and ordinary shares.</w:t>
      </w:r>
    </w:p>
    <w:p>
      <w:pPr>
        <w:spacing w:after="0" w:line="202"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and potentially force us to discontinue operations. See “—If we do not obtain adequate and timely funding, we may not be able to continue as a going concern.”</w:t>
      </w:r>
    </w:p>
    <w:p>
      <w:pPr>
        <w:spacing w:after="0" w:line="167"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The United Kingdom’s withdrawal from the European Union could lead to increased market volatility, which could adversely impact the market price of our ADSs and make it more difficult for us to do business in Europe or have other adverse effects on our business.</w:t>
      </w:r>
    </w:p>
    <w:p>
      <w:pPr>
        <w:spacing w:after="0" w:line="8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United Kingdom formally exited the European Union, commonly referred to as Brexit, on January 31, 2020. Under the terms of its departure, the United Kingdom will enter a transition period during which it will continue to follow all European Union rules and the trading relationship will remain the same. The transition period is scheduled to end on December 31, 2020. The long term effects of Brexit will depend on the agreements and arrangements the United Kingdom negotiates with the European Union, including whether and to what extent it will retain access to the European Union markets following the transition period. There will be a period of considerable uncertainty particularly in relation to United Kingdom financial and banking markets as well as on the regulatory process in Europe as these negotiations continue to unfold. As a result of this uncertainty, financial markets could experience volatility which could adversely affect the market price of our ADSs. Depending on the final terms of any agreements and arrangements negotiated with the European Union, we may also face new regulatory costs and challenges that could have a material adverse effect on our operations, including the potential for a delay in our clinical progress and approvals in Europe. Depending on the terms of any agreements and arrangements negotiated with the European Union, the United Kingdom could lose the benefits of global trade agreements negotiated by the European Union on behalf of its members, which may result in increased trade barriers that could make our doing business worldwide more difficult. In addition, currency exchange rates in the pound sterling and the euro with respect to each other and the U.S. dollar have already been adversely affected by Brexit. Should this foreign exchange volatility continue it could cause volatility in our financial results.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Following the Licensing Agreement for Navi, and if we sell or out-license other of our non-rare disease product candidates or out-license any of our rare disease product candidates for any territories, we could be exposed to future liabilities.</w:t>
      </w:r>
    </w:p>
    <w:p>
      <w:pPr>
        <w:spacing w:after="0" w:line="41"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Having recently completed the out-licence of Navi, we plan to partner or sell or out-license our other non-rare disease product candidates, which include acumapimod for the treatment of AECOPD, leflutrozole for the treatment of HH in obese men and etigilimab for the treatment of solid tumors, recognizing the need for a larger sales infrastructure and greater resources to take these product candidates to market.</w:t>
      </w:r>
    </w:p>
    <w:p>
      <w:pPr>
        <w:spacing w:after="0" w:line="20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may be exposed to future liabilities and/or obligations with respect to any such sale or out-licensing arrangements.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20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As a result of the above, the total amount of costs and expenses that may be incurred with respect to liabilities associated with a sale or out-license may exceed our expectations, and we may experience other unanticipated adverse effects, all of which could adversely affect our business, financial condition, results of operations, and prospects.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Manufacturing tests of setrusumab have shown that it may cause an opalescence appearance to the liquid antibody formulation.</w:t>
      </w:r>
    </w:p>
    <w:p>
      <w:pPr>
        <w:spacing w:after="0" w:line="85"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Whilst we have recently conducted several large scale manufacturing runs of drug substance and drug product at third-party CMO’s without observing any opalescence and formulation studies are being conducted to in order to minimize any risk of significant opalescence or of aggregate formation, there can be no assurances that this opalescence will not occur in future manufacturing runs.</w:t>
      </w:r>
    </w:p>
    <w:p>
      <w:pPr>
        <w:spacing w:after="0" w:line="181"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Circumstances affecting Woodford Investment Management Limited may have a material adverse impact on the price of our ADSs and ordinary shares.</w:t>
      </w:r>
    </w:p>
    <w:p>
      <w:pPr>
        <w:spacing w:after="0" w:line="27"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Until October 15, 2019, Woodford Investment Management Limited (“Woodford”) indirectly through various funds held 27.6% of our shares, of which 19.6 percentage points were held by LF Woodford Equity Income Fund (the “Fund”) and 8.0 percentage points were held by Woodford Patient Capital Trust, Plc (“WPCT”). On October 15, 2019, Link Fund Solutions Limited (“Link”), as authorized corporate director of the Fund, announced its decision to wind the Fund up as soon as practicable by way of an orderly realization of the Fund’s assets (the “Winding-up Announcement”). This decision came after Link’s decision on June 3, 2019 to suspend redemptions and other dealings in shares in the Fund as a result of an increased level of redemptions from the Fund. Also on October 15, 2019, Woodford ceased to be the investment manager for the Fund. It was further announced that Link has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allocated the Fund’s assets into two portfolios, one comprised of listed assets and one comprised of unlisted and certain highly illiquid listed assets. According to the Winding-Up Announcement, BlackRock Advisors (UK) Limited has been appointed to sell the assets in the first portfolio during the period until winding up of the Fund commences. In addition, PJT Partners (UK) Limited will continue to assist Link in selling the assets in the second portfolio. On January 18, 2020, the Fund was formally moved into wind-up. Schroder Investment Management succeeded Woodford as investment manager of WPCT, and WPCT was renamed Schroder UK Public Private Trust PLC. The first capital distribution by Link was paid to investors on January 30, 2020, and further capital distributions are expected to be made as and when suitable amounts of cash have been raised from the sale of the remaining assets of the Fund.</w:t>
      </w:r>
    </w:p>
    <w:p>
      <w:pPr>
        <w:spacing w:after="0" w:line="203"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As a direct or indirect result of the foregoing, all or part of the shares previously held and managed by Woodford may be sold or otherwise disposed of, any of which may occur imminently. Any such sale or other disposition, or the possibility of such transactions, could cause the market price of our ADSs and ordinary shares to decline. This could make it more difficult for other shareholders to sell their ADSs and ordinary shares in us at a favorable price and time or at all. In addition, while Link retains control over approximately 17.1% of our shares, it will continue to exert significant influence over all matters requiring shareholder approval, including the election of directors and approval of significant corporate transactions. Link’s interests may conflict with your interests, including as a direct or indirect result of the above-described developments.</w:t>
      </w:r>
    </w:p>
    <w:p>
      <w:pPr>
        <w:spacing w:after="0" w:line="181"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The sale of our ADSs to Aspire Capital may cause substantial dilution to our existing shareholders and the sale of the ADSs acquired by Aspire Capital could cause the price of our ADSs to decline.</w:t>
      </w:r>
    </w:p>
    <w:p>
      <w:pPr>
        <w:spacing w:after="0" w:line="41"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We are registering for sale the Initial Shares of 2,286,585 ADSs and the Commission Shares of 572,519 ADSs that the selling shareholder may receive upon exchange of ordinary shares that we have issued to the selling shareholder and up to $25.0 million worth of ordinary shares in the form of ADSs that we may sell to Aspire Capital under the Purchase Agreement. It is anticipated that shares registered in this offering will be sold over a period of up to approximately 30 months from the date of this prospectus. The number of ADSs ultimately offered for sale by Aspire Capital under this prospectus is dependent upon the number of ADSs we elect to sell to Aspire Capital under the Purchase Agreement. Depending on a variety of factors, including market liquidity of our ADSs, the sale of ADSs under the Purchase Agreement may cause the trading price of our ADSs to decline.</w:t>
      </w:r>
    </w:p>
    <w:p>
      <w:pPr>
        <w:spacing w:after="0" w:line="203"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Aspire Capital may ultimately purchase all, some or none of the additional $ 25.0 million worth of ordinary shares that are exchangeable for ADSs that, together with the Initial Shares and the Commission Shares, is the subject of this prospectus. Aspire Capital may sell all, some or none of our ADSs that it holds or comes to hold under the Purchase Agreement. Sales by Aspire Capital of ADSs acquired pursuant to the Purchase Agreement under the registration statement, of which this prospectus is a part, may result in dilution to the interests of other holders of our ADSs. The sale of a substantial number of ADSs by Aspire Capital in this offering, or anticipation of such sales, could cause the trading price of our ADSs to decline or make it more difficult for us to sell equity or equity-related securities in the future at a time and at a price that we might otherwise desire. However, we have the right under the Purchase Agreement to control the timing and amount of sales of our ADSs to Aspire Capital, and the Purchase Agreement may be terminated by us at any time at our discretion without any penalty or cost to us.</w:t>
      </w:r>
    </w:p>
    <w:p>
      <w:pPr>
        <w:spacing w:after="0" w:line="185"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i w:val="1"/>
          <w:iCs w:val="1"/>
          <w:color w:val="auto"/>
        </w:rPr>
        <w:t>Purchasers of ADSs in the offering may not have the same voting rights as the holders of our ordinary shares and may not receive voting materials in time to be able to exercise their right to vote.</w:t>
      </w:r>
    </w:p>
    <w:p>
      <w:pPr>
        <w:spacing w:after="0" w:line="27"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represented by our ADSs on an individual basis. Holders of our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ADSs will appoint the depositary or our nominee as their representative to exercise the voting rights attaching to the ordinary shares represented by our ADSs. Purchasers of ADSs in the offering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purchasers of ADSs in the offering may not be able to exercise voting rights and may lack recourse if their ADSs are not voted as requested. In addition, in their capacity as ADS holders, purchasers of ADSs in the offering will not be able to call a shareholders’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9"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(our “Articles”). These rights differ in certain respects from the rights of shareholders in typical U.S. corporations. See “Description of Share Capital and Articles of Association—Differences in Corporate Law” and “Description of Share Capital and Articles of Association—Articles of Association—Other U.K. Law Considerations—City Code on Takeovers and Mergers.” in this prospectus for a description of the principal differences between the provisions of the U.K. Companies Act 2006 applicable to us and, for example, the Delaware General Corporation Law relating to shareholders’ rights and protections.</w:t>
      </w:r>
    </w:p>
    <w:p>
      <w:pPr>
        <w:spacing w:after="0" w:line="181"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There is a significant risk that we will be a passive foreign investment company (“PFIC”) for any taxable year, which could result in material adverse U.S. federal income tax consequences if you are a U.S. investor.</w:t>
      </w:r>
    </w:p>
    <w:p>
      <w:pPr>
        <w:spacing w:after="0" w:line="27"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7"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hold a significant amount of cash and cash equivalents and this may continue to be the case taking into account the cash raised in this offering. Therefore, whether we will satisfy the asset test for the current or any future taxable year generally will depend on the quarterly value of our goodwill and other intangible assets, and on how quickly we utilize the cash in our business. Because (i) the value of our goodwill may be determined by reference to the market prices of our shares or ADSs, which have been volatile given the nature and early stage of our business and have been declining, (ii) we may hold cash and cash equivalents in amounts that could be significant in relation to the value of our goodwill and other intangible assets and (iii) a company’s PFIC status is an annual determination that can be made only after the end of each taxable year, there is a significant risk that we will be a PFIC under the asset test. In addition, it is not clear how to apply the income test to a company like us, which for any particular taxable year may have gross income that is either entirely passive or that significantly exceeds any active gross income, but the overall losses of which from research and development activities exceed the overall amount of its gross income for that year. We currently do not earn income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from sales of drugs. Accordingly, U.S. investors should invest in our ADSs only if they are willing to bear the U.S. federal income tax consequences associated with investments in PFICs.</w:t>
      </w:r>
    </w:p>
    <w:p>
      <w:pPr>
        <w:spacing w:after="0" w:line="197"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If we were a PFIC for any taxable year during which a U.S. investor owns ADSs or ordinary shares, certain adverse U.S. federal income tax consequences could apply to such U.S. investor. We provide the information necessary for a U.S. investor to make a qualifying electing fund election with respect to us. See “Material Tax Considerations—Material U.S. Federal Income Tax Considerations” for further information. U.S. investors should consult their tax advisers regarding our PFIC status for any taxable year and the potential application of the PFIC rules to an investment in our ADSs.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This prospectus and the documents incorporated by reference herein contain statements that constitute forward-looking statements. Many of the forward-looking statements contained in this prospectus and the documents incorporated by reference herein can be identified by the use of forward-looking words such as “anticipate,” “believe,” “could,” “estimate,” “expect,” “intend,” “plan,” “potential” and “should,” among others.</w:t>
      </w:r>
    </w:p>
    <w:p>
      <w:pPr>
        <w:spacing w:after="0" w:line="20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1060" w:right="600" w:hanging="424"/>
        <w:spacing w:after="0" w:line="218"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1060" w:right="320" w:hanging="424"/>
        <w:spacing w:after="0" w:line="218"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continue as a going concern;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 candidates secure regulatory approval;</w:t>
      </w:r>
    </w:p>
    <w:p>
      <w:pPr>
        <w:spacing w:after="0" w:line="26" w:lineRule="exact"/>
        <w:rPr>
          <w:rFonts w:ascii="MS PGothic" w:cs="MS PGothic" w:eastAsia="MS PGothic" w:hAnsi="MS PGothic"/>
          <w:sz w:val="25"/>
          <w:szCs w:val="25"/>
          <w:color w:val="auto"/>
          <w:vertAlign w:val="superscript"/>
        </w:rPr>
      </w:pPr>
    </w:p>
    <w:p>
      <w:pPr>
        <w:ind w:left="1060" w:right="860" w:hanging="424"/>
        <w:spacing w:after="0" w:line="218"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 candidates by physicians and patients;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benefits from strategic sales or out-licensing of our non-rare product candidates;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attain and/or maintain our desired pricing levels;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be included in healthcare systems in certain regions;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1060" w:right="100" w:hanging="424"/>
        <w:spacing w:after="0" w:line="218"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including the Merger with OncoMed; and</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or have incorporated by reference into this prospectus, of which this prospectus is a part, completely and with the understanding that our actual future results may be materially different from what we expect. We qualify all of our forward-looking statements by these cautionary statements.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Certain industry data and market data included in this prospectus and the documents incorporated by reference herein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33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and the documents incorporated by reference herein contain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This prospectus relates to our ADSs representing ordinary shares that may be offered and sold from time to time by Aspire Capital. We will not receive any proceeds upon the sale of ADSs by Aspire Capital. However, we may receive proceeds of up to $28.0 million under the Purchase Agreement with Aspire Capital, which includes the $3.0 million that we received for sale of the Initial Shares to Aspire Capital.</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proceeds received from the sale of the ADSs under the Purchase Agreement are expected be used to advance the clinical development of setrusumab for the treatment of OI and alvelestat for the treatment of severe AATD, and to fund general research and development activities, working capital and other general corporate purposes, including the costs relating to entering into any third-party strategic relationship for development and commercialization of our non-rare disease product candidates. However, we cannot guarantee that we will receive any proceeds other than from the sale of the Initial Shares in connection with the Purchase Agreement because we may be unable or choose not to issue and sell any ADSs pursuant to the Purchase Agreement. Because of this, we have not determined the amount of net proceeds to be used specifically for any particular purpose or the timing of any expenditures. As a result, our management will retain broad discretion over the allocation of any net proceeds. Pending such uses, we plan to invest any net proceeds in short- and intermediate-term interest-bearing obligations and certificates of deposit.</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ASPIRE CAPITAL TRANSACTION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On February 10, 2020, we entered into the Purchase Agreement, which provides that, upon the terms and subject to the conditions and limitations set forth therein, Aspire Capital is committed to purchase up to an aggregate of $28.0 million of our ordinary shares that are exchangeable for ADSs, which includes the Initial Shares sold by us to the selling shareholder for $ 3.0 million, over the term of the Purchase Agreement. In consideration for entering into the Purchase Agreement, concurrently with the execution of the Purchase Agreement, we paid to Aspire Capital a $300,000 commitment fee, which was satisfied wholly by the issuance to Aspire Capital of 2,862,595 ordinary shares that are exchangeable for 572,519 ADSs. Concurrently with entering into the Purchase Agreement, we also entered into the Registration Rights Agreement, in which we agreed to file one or more registration statements as permissible and necessary to register under the Securities Act, the sale of the ADSs that have been and may be issued to Aspire Capital under the Purchase Agreement.</w:t>
      </w:r>
    </w:p>
    <w:p>
      <w:pPr>
        <w:spacing w:after="0" w:line="20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As of February 11, 2020, there were 112,255,142 ordinary shares outstanding (approximately 35% held by non-affiliates), excluding the $25.0 million worth of ordinary shares that are exchangeable for ADSs issuable to Aspire Capital pursuant to the Purchase Agreement. The number of ADSs representing ordinary shares ultimately offered for sale by Aspire Capital is dependent upon the number of ADSs purchased by Aspire Capital under the Purchase Agreement.</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issued to the selling shareholder and exchangeable for 2,286,585 ADSs, (ii) the Commission Shares of 2,862,595 ordinary shares exchangeable for 572,519 ADSs issued to the selling shareholder in satisfaction of the commission fee due to Aspire Capital under the Purchase Agreement, and (iii) up to an additional $25.0 million worth of ordinary shares that are exchangeable for ADSs, which we may issue to Aspire Capital after this registration statement is declared effective under the Securities Act. All $28.3 million ordinary shares that are exchangeable for ADSs issued or issuable to Aspire Capital pursuant to the Purchase Agreement are being offered pursuant to this prospectus.</w:t>
      </w:r>
    </w:p>
    <w:p>
      <w:pPr>
        <w:spacing w:after="0" w:line="208"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$0.25 per share, we have the right, in our sole discretion, to present Aspire Capital with a Purchase Notice, directing Aspire Capital (as principal) to purchase up to 150,000 ADSs per business day, up to $25.0 million worth of our ordinary shares exchangeable for ADSs in the aggregate over the term of the Purchase Agreement, at a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addition, on any date on which we submit a Purchase Notice to Aspire Capital for at least 150,000 ADSs, we also have the right, in our sole discretion, to present Aspire Capital with a VWAP Purchase Notice directing Aspire Capital to purchase an amount of ADSs equal to up to 30% of the aggregate of the Company’s ADSs traded on the Nasdaq on the next business day, subject to the VWAP Purchase ADS Volume Maximum and the VWAP Minimum Price Threshold and subject to a maximum of 250,000 ADSs. The VWAP Purchase Price is calculated by reference to the prevailing market price of our ADSs (as more specifically described below).</w:t>
      </w:r>
    </w:p>
    <w:p>
      <w:pPr>
        <w:spacing w:after="0" w:line="203" w:lineRule="exact"/>
        <w:rPr>
          <w:sz w:val="20"/>
          <w:szCs w:val="20"/>
          <w:color w:val="auto"/>
        </w:rPr>
      </w:pPr>
    </w:p>
    <w:p>
      <w:pPr>
        <w:jc w:val="both"/>
        <w:ind w:left="200" w:right="160" w:firstLine="441"/>
        <w:spacing w:after="0"/>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 than the Floor Price. There are no trading volume requirements or restrictions under the Purchase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 of ADSs under the Purchase Agreement</w:t>
      </w:r>
    </w:p>
    <w:p>
      <w:pPr>
        <w:spacing w:after="0" w:line="99" w:lineRule="exact"/>
        <w:rPr>
          <w:sz w:val="20"/>
          <w:szCs w:val="20"/>
          <w:color w:val="auto"/>
        </w:rPr>
      </w:pPr>
    </w:p>
    <w:p>
      <w:pPr>
        <w:jc w:val="both"/>
        <w:ind w:left="200" w:right="240" w:firstLine="441"/>
        <w:spacing w:after="0"/>
        <w:rPr>
          <w:sz w:val="20"/>
          <w:szCs w:val="20"/>
          <w:color w:val="auto"/>
        </w:rPr>
      </w:pPr>
      <w:r>
        <w:rPr>
          <w:rFonts w:ascii="Arial" w:cs="Arial" w:eastAsia="Arial" w:hAnsi="Arial"/>
          <w:sz w:val="18"/>
          <w:szCs w:val="18"/>
          <w:color w:val="auto"/>
        </w:rPr>
        <w:t>Under the Purchase Agreement, on any business day selected by us on which the closing sale price of our ADSs is at least $0.25 per share, we may direct Aspire Capital to purchase up to 150,000 ADSs representing 750,000 ordinary shares per business day. The Purchase Price of such ADSs is equal to the lesser of:</w:t>
      </w:r>
    </w:p>
    <w:p>
      <w:pPr>
        <w:spacing w:after="0" w:line="194" w:lineRule="exact"/>
        <w:rPr>
          <w:sz w:val="20"/>
          <w:szCs w:val="20"/>
          <w:color w:val="auto"/>
        </w:rPr>
      </w:pPr>
    </w:p>
    <w:p>
      <w:pPr>
        <w:ind w:left="1060" w:hanging="424"/>
        <w:spacing w:after="0"/>
        <w:tabs>
          <w:tab w:leader="none" w:pos="106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lowest sale price of our ADSs on the purchase date; or</w:t>
      </w:r>
    </w:p>
    <w:p>
      <w:pPr>
        <w:spacing w:after="0" w:line="26" w:lineRule="exact"/>
        <w:rPr>
          <w:rFonts w:ascii="MS PGothic" w:cs="MS PGothic" w:eastAsia="MS PGothic" w:hAnsi="MS PGothic"/>
          <w:sz w:val="25"/>
          <w:szCs w:val="25"/>
          <w:color w:val="auto"/>
          <w:vertAlign w:val="superscript"/>
        </w:rPr>
      </w:pPr>
    </w:p>
    <w:p>
      <w:pPr>
        <w:ind w:left="1060" w:right="80" w:hanging="424"/>
        <w:spacing w:after="0" w:line="218" w:lineRule="auto"/>
        <w:tabs>
          <w:tab w:leader="none" w:pos="106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arithmetic average of the three lowest closing sale prices for our ADSs during the 10 consecutive business days ending on the business day immediately preceding the purchase date.</w:t>
      </w:r>
    </w:p>
    <w:p>
      <w:pPr>
        <w:spacing w:after="0" w:line="203" w:lineRule="exact"/>
        <w:rPr>
          <w:sz w:val="20"/>
          <w:szCs w:val="20"/>
          <w:color w:val="auto"/>
        </w:rPr>
      </w:pPr>
    </w:p>
    <w:p>
      <w:pPr>
        <w:ind w:left="200" w:right="200" w:firstLine="441"/>
        <w:spacing w:after="0" w:line="237" w:lineRule="auto"/>
        <w:rPr>
          <w:sz w:val="20"/>
          <w:szCs w:val="20"/>
          <w:color w:val="auto"/>
        </w:rPr>
      </w:pPr>
      <w:r>
        <w:rPr>
          <w:rFonts w:ascii="Arial" w:cs="Arial" w:eastAsia="Arial" w:hAnsi="Arial"/>
          <w:sz w:val="18"/>
          <w:szCs w:val="18"/>
          <w:color w:val="auto"/>
        </w:rPr>
        <w:t>In addition, on any date on which we submit a Purchase Notice to Aspire Capital for purchase of 150,000 ADSs, we also have the right to direct Aspire Capital to purchase an amount of ADSs equal to up to 30% of the aggregate of our ADSs traded on the Nasdaq on the next business day, subject to a maximum number of 250,000 ADSs and subject to the VWAP Purchase ADS Volume Maximum and the VWAP Minimum Price Threshold, which is equal to the greater of (a) 80% of the closing price of our ADSs on the business day immediately preceding the VWAP Purchase Date or (b) such higher price as set forth by us in the VWAP Purchase Notice. The VWAP Purchase Price of such ADSs is the lower of:</w:t>
      </w:r>
    </w:p>
    <w:p>
      <w:pPr>
        <w:spacing w:after="0" w:line="196" w:lineRule="exact"/>
        <w:rPr>
          <w:sz w:val="20"/>
          <w:szCs w:val="20"/>
          <w:color w:val="auto"/>
        </w:rPr>
      </w:pPr>
    </w:p>
    <w:p>
      <w:pPr>
        <w:ind w:left="1060" w:hanging="424"/>
        <w:spacing w:after="0"/>
        <w:tabs>
          <w:tab w:leader="none" w:pos="106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closing sale price on the VWAP Purchase Date;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97% of the volume-weighted average price for our ADSs traded on the Nasdaq:</w:t>
      </w:r>
    </w:p>
    <w:p>
      <w:pPr>
        <w:spacing w:after="0" w:line="26" w:lineRule="exact"/>
        <w:rPr>
          <w:rFonts w:ascii="MS PGothic" w:cs="MS PGothic" w:eastAsia="MS PGothic" w:hAnsi="MS PGothic"/>
          <w:sz w:val="25"/>
          <w:szCs w:val="25"/>
          <w:color w:val="auto"/>
          <w:vertAlign w:val="superscript"/>
        </w:rPr>
      </w:pPr>
    </w:p>
    <w:p>
      <w:pPr>
        <w:ind w:left="1520" w:right="700" w:hanging="438"/>
        <w:spacing w:after="0" w:line="218" w:lineRule="auto"/>
        <w:tabs>
          <w:tab w:leader="none" w:pos="1520" w:val="left"/>
        </w:tabs>
        <w:numPr>
          <w:ilvl w:val="1"/>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the VWAP Purchase Date, if the aggregate ADSs to be purchased on that date have not exceeded the VWAP Purchase Share Volume Maximum; or</w:t>
      </w:r>
    </w:p>
    <w:p>
      <w:pPr>
        <w:spacing w:after="0" w:line="27" w:lineRule="exact"/>
        <w:rPr>
          <w:rFonts w:ascii="MS PGothic" w:cs="MS PGothic" w:eastAsia="MS PGothic" w:hAnsi="MS PGothic"/>
          <w:sz w:val="25"/>
          <w:szCs w:val="25"/>
          <w:color w:val="auto"/>
          <w:vertAlign w:val="superscript"/>
        </w:rPr>
      </w:pPr>
    </w:p>
    <w:p>
      <w:pPr>
        <w:ind w:left="1520" w:right="180" w:hanging="438"/>
        <w:spacing w:after="0" w:line="223" w:lineRule="auto"/>
        <w:tabs>
          <w:tab w:leader="none" w:pos="1520" w:val="left"/>
        </w:tabs>
        <w:numPr>
          <w:ilvl w:val="1"/>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during that portion of the VWAP Purchase Date until such time as the sooner to occur of (i) the time at which the aggregate ADSs traded on the Nasdaq exceed the VWAP Purchase ADS Volume Maximum or (ii) the time at which the sale price of our ADSs falls below the VWAP Minimum Price Threshold.</w:t>
      </w:r>
    </w:p>
    <w:p>
      <w:pPr>
        <w:spacing w:after="0" w:line="204" w:lineRule="exact"/>
        <w:rPr>
          <w:sz w:val="20"/>
          <w:szCs w:val="20"/>
          <w:color w:val="auto"/>
        </w:rPr>
      </w:pPr>
    </w:p>
    <w:p>
      <w:pPr>
        <w:ind w:left="200" w:right="380" w:firstLine="441"/>
        <w:spacing w:after="0" w:line="239"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business day(s) used to compute the Purchase Price. We may deliver multiple Purchase Notices and VWAP Purchase Notices to Aspire Capital from time to time during the term of the Purchase Agreement, so long as the most recent purchase has been completed.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Minimum Share Price</w:t>
      </w:r>
    </w:p>
    <w:p>
      <w:pPr>
        <w:spacing w:after="0" w:line="85"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Under the Purchase Agreement, we and Aspire Capital may not effect any sales of our ADSs under the Purchase Agreement on any business day that the closing sale price of our ADSs is less than $0.25 per share.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99"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No sales are permitted to be made under the Purchase Agreement upon the occurrence of any of the following, among other, events of default:</w:t>
      </w:r>
    </w:p>
    <w:p>
      <w:pPr>
        <w:spacing w:after="0" w:line="224" w:lineRule="exact"/>
        <w:rPr>
          <w:sz w:val="20"/>
          <w:szCs w:val="20"/>
          <w:color w:val="auto"/>
        </w:rPr>
      </w:pPr>
    </w:p>
    <w:p>
      <w:pPr>
        <w:ind w:left="1060" w:right="40" w:hanging="424"/>
        <w:spacing w:after="0" w:line="229"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effectiveness of any registration statement that is required to be maintained effective pursuant to the terms of the Registration Rights Agreement between us and Aspire Capital lapses for any reason (including, without limitation, the issuance of a stop order) or is unavailable to Aspire Capital for sale of our ADSs, and such lapse or unavailability continues for a period of 10 consecutive business days or for more than an aggregate of 30 business days in any 365-day period, which is not in connection with a post-effective amendment to any such registration statement; in connection with any post-effective amendment to such registration statement that is required to be declared effective by the SEC such lapse or unavailability may continue for a period of no more than 30 consecutive business days;</w:t>
      </w:r>
    </w:p>
    <w:p>
      <w:pPr>
        <w:spacing w:after="0" w:line="32" w:lineRule="exact"/>
        <w:rPr>
          <w:rFonts w:ascii="MS PGothic" w:cs="MS PGothic" w:eastAsia="MS PGothic" w:hAnsi="MS PGothic"/>
          <w:sz w:val="25"/>
          <w:szCs w:val="25"/>
          <w:color w:val="auto"/>
          <w:vertAlign w:val="superscript"/>
        </w:rPr>
      </w:pPr>
    </w:p>
    <w:p>
      <w:pPr>
        <w:ind w:left="1060" w:right="700" w:hanging="424"/>
        <w:spacing w:after="0" w:line="218"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suspension from trading or failure of our ADSs to be listed on our principal market for a period of three consecutive business days;</w:t>
      </w:r>
    </w:p>
    <w:p>
      <w:pPr>
        <w:spacing w:after="0" w:line="27" w:lineRule="exact"/>
        <w:rPr>
          <w:rFonts w:ascii="MS PGothic" w:cs="MS PGothic" w:eastAsia="MS PGothic" w:hAnsi="MS PGothic"/>
          <w:sz w:val="25"/>
          <w:szCs w:val="25"/>
          <w:color w:val="auto"/>
          <w:vertAlign w:val="superscript"/>
        </w:rPr>
      </w:pPr>
    </w:p>
    <w:p>
      <w:pPr>
        <w:ind w:left="1060" w:right="80" w:hanging="424"/>
        <w:spacing w:after="0" w:line="223"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delisting of our ADSs from our principal market, provided our ADSs are not immediately thereafter trading on the New York Stock Exchange, the NYSE American, the Nasdaq Capital Market, the Nasdaq Global Select Market, the Nasdaq Global Market, the OTB Bulletin Board or the OTCQB marketplace or OTCQX marketplace of the OTC Markets Group;</w:t>
      </w:r>
    </w:p>
    <w:p>
      <w:pPr>
        <w:spacing w:after="0" w:line="28" w:lineRule="exact"/>
        <w:rPr>
          <w:rFonts w:ascii="MS PGothic" w:cs="MS PGothic" w:eastAsia="MS PGothic" w:hAnsi="MS PGothic"/>
          <w:sz w:val="25"/>
          <w:szCs w:val="25"/>
          <w:color w:val="auto"/>
          <w:vertAlign w:val="superscript"/>
        </w:rPr>
      </w:pPr>
    </w:p>
    <w:p>
      <w:pPr>
        <w:ind w:left="1060" w:right="540" w:hanging="424"/>
        <w:spacing w:after="0" w:line="218"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transfer agent’s failure to issue to Aspire Capital ADSs which Aspire Capital is entitled to receive under the Purchase Agreement within five business days after an applicable purchase date;</w:t>
      </w:r>
    </w:p>
    <w:p>
      <w:pPr>
        <w:spacing w:after="0" w:line="27" w:lineRule="exact"/>
        <w:rPr>
          <w:rFonts w:ascii="MS PGothic" w:cs="MS PGothic" w:eastAsia="MS PGothic" w:hAnsi="MS PGothic"/>
          <w:sz w:val="25"/>
          <w:szCs w:val="25"/>
          <w:color w:val="auto"/>
          <w:vertAlign w:val="superscript"/>
        </w:rPr>
      </w:pPr>
    </w:p>
    <w:p>
      <w:pPr>
        <w:ind w:left="1060" w:right="560" w:hanging="424"/>
        <w:spacing w:after="0" w:line="218"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breach by us of the representations or warranties or covenants contained in the Purchase Agreement or any related agreements which could have a material adverse effect on us, subject to a cure period of five business days;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become insolvent or are generally unable to pay our debts as they become due;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participation or threatened participation in insolvency or bankruptcy proceedings by or against us.</w:t>
      </w:r>
    </w:p>
    <w:p>
      <w:pPr>
        <w:spacing w:after="0" w:line="203"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The Purchase Agreement will be automatically terminated in the event of any participation in insolvency or bankruptcy proceedings by or against 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Termination Rights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Purchase Agreement may be terminated by us at any time, at our discretion, without any penalty or cost to us.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Short-Selling or Hedging by Aspire Capital</w:t>
      </w:r>
    </w:p>
    <w:p>
      <w:pPr>
        <w:spacing w:after="0" w:line="85"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Aspire Capital has agreed that neither it nor any of its agents, representatives and affiliates shall engage in any direct or indirect short-selling or hedging of our securities during any time prior to the termination of the Purchase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Performance of the Purchase Agreement on Our Shareholders</w:t>
      </w:r>
    </w:p>
    <w:p>
      <w:pPr>
        <w:spacing w:after="0" w:line="99"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The Purchase Agreement does not limit the ability of Aspire Capital to sell any or all of the $25.0 million worth of ordinary shares exchangeable for ADSs registered in this offering. It is anticipated that shares registered in this offering will be sold over a period of up to approximately 30 months from the date of this prospectus. The sale by Aspire Capital of a significant amount of ADSs registered in this offering at any given time could cause the market price of our ADSs to decline and/or to be highly volatile. Aspire Capital may ultimately purchase all, some or none of the $25.0 million worth of ordinary shares exchangeable for ADSs not yet issued but registered in this offering. After it</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has acquired such shares, it may sell all, some or none of such ADSs. Therefore, sales to Aspire Capital by us pursuant to the Purchase Agreement also may result in substantial dilution to the interests of other holders of our ADSs. However, we have the right to control the timing and amount of any sales of our ADSs to Aspire Capital and the Purchase Agreement may be terminated by us at any time at our discretion without any penalty or cost to us.</w:t>
      </w: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240" w:top="459" w:right="6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SELLING SHAREHOLDER</w:t>
      </w:r>
    </w:p>
    <w:p>
      <w:pPr>
        <w:spacing w:after="0" w:line="342"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The selling shareholder may from time to time offer and sell any or all of the ADSs representing ordinary shares set forth below pursuant to this prospectus. When we refer to the “selling shareholder” in this prospectus, we mean the entity listed in the table below, and its respective pledgees, donees, permitted transferees, assignees, successors and others who later come to hold any of the selling shareholder’s interests in our ADSs other than through a public sale.</w:t>
      </w:r>
    </w:p>
    <w:p>
      <w:pPr>
        <w:spacing w:after="0" w:line="202" w:lineRule="exact"/>
        <w:rPr>
          <w:sz w:val="20"/>
          <w:szCs w:val="20"/>
          <w:color w:val="auto"/>
        </w:rPr>
      </w:pPr>
    </w:p>
    <w:p>
      <w:pPr>
        <w:ind w:left="200" w:right="300" w:firstLine="441"/>
        <w:spacing w:after="0" w:line="237" w:lineRule="auto"/>
        <w:rPr>
          <w:sz w:val="20"/>
          <w:szCs w:val="20"/>
          <w:color w:val="auto"/>
        </w:rPr>
      </w:pPr>
      <w:r>
        <w:rPr>
          <w:rFonts w:ascii="Arial" w:cs="Arial" w:eastAsia="Arial" w:hAnsi="Arial"/>
          <w:sz w:val="18"/>
          <w:szCs w:val="18"/>
          <w:color w:val="auto"/>
        </w:rPr>
        <w:t>The following table sets forth, as of the date of this prospectus, the name of the selling shareholder for whom we are registering shares for sale to the public, the number of ADSs beneficially owned by the selling shareholder prior to this offering, the total number of ADSs that the selling shareholder may offer pursuant to this prospectus and the number of ADSs that the selling shareholder will beneficially own after this offering. Except as noted below, the selling shareholder does not have, or within the past three years has not had, any material relationship with us or any of our predecessors or affiliates and the selling shareholder is not or was not affiliated with registered broker-dealers.</w:t>
      </w:r>
    </w:p>
    <w:p>
      <w:pPr>
        <w:spacing w:after="0" w:line="20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Based on the information provided to us by the selling shareholder, assuming that the selling shareholder sells all of the shares of our ADSs beneficially owned by it that have been registered by us and does not acquire any additional ADSs during the offering, the selling shareholder will not own any ADSs other than those appearing in the column entitled “Beneficial Ownership After This Offering.” We cannot advise you as to whether the selling shareholder will in fact sell any or all of such ADSs. In addition, the selling shareholder may have sold, transferred or otherwise disposed of, or may sell, transfer or otherwise dispose of, at any time and from time to time, the ADSs in transactions exempt from the registration requirements of the Securities Act after the date on which it provided the information set forth in the table below. Each ADS represents five of our ordinary shares.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5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Beneficial Ownership</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rPr>
              <w:t>Before this Offering(1)</w:t>
            </w: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ADSs</w:t>
            </w:r>
          </w:p>
        </w:tc>
        <w:tc>
          <w:tcPr>
            <w:tcW w:w="1600" w:type="dxa"/>
            <w:vAlign w:val="bottom"/>
            <w:gridSpan w:val="3"/>
          </w:tcPr>
          <w:p>
            <w:pPr>
              <w:ind w:left="180"/>
              <w:spacing w:after="0"/>
              <w:rPr>
                <w:sz w:val="20"/>
                <w:szCs w:val="20"/>
                <w:color w:val="auto"/>
              </w:rPr>
            </w:pPr>
            <w:r>
              <w:rPr>
                <w:rFonts w:ascii="Arial" w:cs="Arial" w:eastAsia="Arial" w:hAnsi="Arial"/>
                <w:sz w:val="14"/>
                <w:szCs w:val="14"/>
                <w:b w:val="1"/>
                <w:bCs w:val="1"/>
                <w:color w:val="auto"/>
              </w:rPr>
              <w:t>After this Offering(2)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Being</w:t>
            </w: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gridSpan w:val="3"/>
            <w:vMerge w:val="continue"/>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ADSs</w:t>
            </w: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Offered</w:t>
            </w: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ADSs</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Aspire Capital Fund, LLC(3)</w:t>
            </w:r>
          </w:p>
        </w:tc>
        <w:tc>
          <w:tcPr>
            <w:tcW w:w="9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9"/>
              </w:rPr>
              <w:t>2,859,104</w:t>
            </w:r>
          </w:p>
        </w:tc>
        <w:tc>
          <w:tcPr>
            <w:tcW w:w="5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12.7%</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2,859,104</w:t>
            </w: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w w:val="99"/>
              </w:rPr>
              <w:t>0</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640" w:right="60" w:hanging="436"/>
        <w:spacing w:after="0" w:line="23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Initial Shares of 14,295,520 ordinary shares (equivalent to 2,859,104 ADSs) that were issued to Aspire Capital pursuant to the Purchase Agreement, which includes (i) the Initial Shares of 11,432,925 ordinary shares exchangeable for 2,286,585 ADSs and (ii) the Commission Shares of 2,862,595 ordinary shares exchangeable for 572,519 ADSs. Each ADS represents five of our ordinary shares.</w:t>
      </w:r>
    </w:p>
    <w:p>
      <w:pPr>
        <w:spacing w:after="0" w:line="26"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the sale of all Initial Shares and Commission Shares registered pursuant to this prospectus.</w:t>
      </w:r>
    </w:p>
    <w:p>
      <w:pPr>
        <w:spacing w:after="0" w:line="36" w:lineRule="exact"/>
        <w:rPr>
          <w:rFonts w:ascii="Arial" w:cs="Arial" w:eastAsia="Arial" w:hAnsi="Arial"/>
          <w:sz w:val="18"/>
          <w:szCs w:val="18"/>
          <w:color w:val="auto"/>
        </w:rPr>
      </w:pPr>
    </w:p>
    <w:p>
      <w:pPr>
        <w:ind w:left="640" w:right="60" w:hanging="436"/>
        <w:spacing w:after="0" w:line="23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Aspire Capital Partners LLC (“Aspire Partners”) is the Managing Member of Aspire Capital Fund LLC (“Aspire Fund”). SGM Holdings Corp (“SGM”) is the Managing Member of Aspire Partners. Mr. Steven G. Martin (“Mr. Martin”) is the president and sole shareholder of SGM, as well as a principal of Aspire Partners. Mr. Erik J. Brown (“Mr. Brown”) is the president and sole shareholder of Red Cedar Capital Corp (“Red Cedar”), which is a principal of Aspire Partners. Mr. Christos Komissopoulos (“Mr. Komissopoulos”) is president and sole shareholder of Chrisko Investors Inc. (“Chrisko”), which is a principal of Aspire Partners. Mr. William F. Blank, III</w:t>
      </w:r>
    </w:p>
    <w:p>
      <w:pPr>
        <w:spacing w:after="0" w:line="3" w:lineRule="exact"/>
        <w:rPr>
          <w:rFonts w:ascii="Arial" w:cs="Arial" w:eastAsia="Arial" w:hAnsi="Arial"/>
          <w:sz w:val="18"/>
          <w:szCs w:val="18"/>
          <w:color w:val="auto"/>
        </w:rPr>
      </w:pPr>
    </w:p>
    <w:p>
      <w:pPr>
        <w:ind w:left="640" w:right="20"/>
        <w:spacing w:after="0" w:line="234" w:lineRule="auto"/>
        <w:rPr>
          <w:rFonts w:ascii="Arial" w:cs="Arial" w:eastAsia="Arial" w:hAnsi="Arial"/>
          <w:sz w:val="18"/>
          <w:szCs w:val="18"/>
          <w:color w:val="auto"/>
        </w:rPr>
      </w:pPr>
      <w:r>
        <w:rPr>
          <w:rFonts w:ascii="Arial" w:cs="Arial" w:eastAsia="Arial" w:hAnsi="Arial"/>
          <w:sz w:val="18"/>
          <w:szCs w:val="18"/>
          <w:color w:val="auto"/>
        </w:rPr>
        <w:t>(“Mr. Blank”) is president and sole shareholder of WML Ventures Corp. (“WML Ventures”), which is a principal of Aspire Partners. Each of Aspire Partners, SGM, Red Cedar, Chrisko, WML Ventures, Mr. Martin, Mr. Brown, Mr. Komissopoulos and Mr. Blank may be deemed to be a beneficial owner of ADSs by Aspire Fund. Each of Aspire Partners, SGM, Red Cedar, Chrisko, WML Ventures,</w:t>
      </w:r>
    </w:p>
    <w:p>
      <w:pPr>
        <w:spacing w:after="0" w:line="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Mr. Martin, Mr. Brown, Mr. Komissopoulos and Mr. Blank disclaims beneficial ownership of the ADSs held by Aspire Fund.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640" w:hanging="436"/>
        <w:spacing w:after="0" w:line="23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date hereof, 14,295,520 ordinary shares which may be exchanged for 2,859,104 ADSs have been issued to Aspire Capital under the Purchase Agreement. We may elect in our sole discretion to sell to Aspire Capital up to an additional $25.0 million worth of ordinary shares exchangeable for ADSs under the Purchase Agreement, but Aspire Capital does not presently beneficially own those shares as determined in accordance with the rules of the SEC.</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200" w:right="540" w:firstLine="441"/>
        <w:spacing w:after="0" w:line="246" w:lineRule="auto"/>
        <w:rPr>
          <w:sz w:val="20"/>
          <w:szCs w:val="20"/>
          <w:color w:val="auto"/>
        </w:rPr>
      </w:pPr>
      <w:r>
        <w:rPr>
          <w:rFonts w:ascii="Arial" w:cs="Arial" w:eastAsia="Arial" w:hAnsi="Arial"/>
          <w:sz w:val="18"/>
          <w:szCs w:val="18"/>
          <w:color w:val="auto"/>
        </w:rPr>
        <w:t>The table below sets forth our cash and short-term deposits and short-term investments and capitalization as of June 30, 2019 derived from our unaudited interim consolidated financial statements incorporated by reference into this prospectus.</w:t>
      </w:r>
    </w:p>
    <w:p>
      <w:pPr>
        <w:spacing w:after="0" w:line="197"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You should read this table in conjunction with our unaudited interim consolidated financial statements incorporated by reference into this prospectus.</w:t>
      </w:r>
    </w:p>
    <w:p>
      <w:pPr>
        <w:spacing w:after="0" w:line="19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the noon buying rate of the Federal Reserve Bank of New York on June 28, 2019, which was £1.00 to $1.2704.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June 30, 2019</w:t>
            </w:r>
          </w:p>
        </w:tc>
      </w:tr>
      <w:tr>
        <w:trPr>
          <w:trHeight w:val="156"/>
        </w:trPr>
        <w:tc>
          <w:tcPr>
            <w:tcW w:w="6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5"/>
          </w:tcPr>
          <w:p>
            <w:pPr>
              <w:jc w:val="right"/>
              <w:ind w:right="170"/>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120" w:type="dxa"/>
            <w:vAlign w:val="bottom"/>
          </w:tcPr>
          <w:p>
            <w:pPr>
              <w:spacing w:after="0"/>
              <w:rPr>
                <w:sz w:val="13"/>
                <w:szCs w:val="13"/>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36,118</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45,884</w:t>
            </w:r>
          </w:p>
        </w:tc>
      </w:tr>
      <w:tr>
        <w:trPr>
          <w:trHeight w:val="20"/>
        </w:trPr>
        <w:tc>
          <w:tcPr>
            <w:tcW w:w="6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280" w:type="dxa"/>
            <w:vAlign w:val="bottom"/>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1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19,732</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25,068</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286</w:t>
            </w: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Equity:</w:t>
            </w:r>
          </w:p>
        </w:tc>
        <w:tc>
          <w:tcPr>
            <w:tcW w:w="1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capital</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373</w:t>
            </w:r>
          </w:p>
        </w:tc>
      </w:tr>
      <w:tr>
        <w:trPr>
          <w:trHeight w:val="203"/>
        </w:trPr>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EBT shares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(1,658)</w:t>
            </w:r>
          </w:p>
        </w:tc>
      </w:tr>
      <w:tr>
        <w:trPr>
          <w:trHeight w:val="203"/>
        </w:trPr>
        <w:tc>
          <w:tcPr>
            <w:tcW w:w="6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 premium</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121,684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154,587</w:t>
            </w:r>
          </w:p>
        </w:tc>
      </w:tr>
      <w:tr>
        <w:trPr>
          <w:trHeight w:val="203"/>
        </w:trPr>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Other capital reserves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58,004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73,688</w:t>
            </w:r>
          </w:p>
        </w:tc>
      </w:tr>
      <w:tr>
        <w:trPr>
          <w:trHeight w:val="203"/>
        </w:trPr>
        <w:tc>
          <w:tcPr>
            <w:tcW w:w="6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loss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(127,356)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(161,793)</w:t>
            </w:r>
          </w:p>
        </w:tc>
      </w:tr>
      <w:tr>
        <w:trPr>
          <w:trHeight w:val="203"/>
        </w:trPr>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Other reserves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8,893</w:t>
            </w:r>
          </w:p>
        </w:tc>
      </w:tr>
      <w:tr>
        <w:trPr>
          <w:trHeight w:val="203"/>
        </w:trPr>
        <w:tc>
          <w:tcPr>
            <w:tcW w:w="6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Translation reserve</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7"/>
                <w:szCs w:val="17"/>
                <w:color w:val="auto"/>
              </w:rPr>
            </w:pPr>
          </w:p>
        </w:tc>
      </w:tr>
      <w:tr>
        <w:trPr>
          <w:trHeight w:val="210"/>
        </w:trPr>
        <w:tc>
          <w:tcPr>
            <w:tcW w:w="628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59,031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74,992</w:t>
            </w:r>
          </w:p>
        </w:tc>
      </w:tr>
      <w:tr>
        <w:trPr>
          <w:trHeight w:val="27"/>
        </w:trPr>
        <w:tc>
          <w:tcPr>
            <w:tcW w:w="6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78,988</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100,346</w:t>
            </w:r>
          </w:p>
        </w:tc>
      </w:tr>
      <w:tr>
        <w:trPr>
          <w:trHeight w:val="20"/>
        </w:trPr>
        <w:tc>
          <w:tcPr>
            <w:tcW w:w="6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above excludes:</w:t>
      </w:r>
    </w:p>
    <w:p>
      <w:pPr>
        <w:spacing w:after="0" w:line="239" w:lineRule="exact"/>
        <w:rPr>
          <w:sz w:val="20"/>
          <w:szCs w:val="20"/>
          <w:color w:val="auto"/>
        </w:rPr>
      </w:pPr>
    </w:p>
    <w:p>
      <w:pPr>
        <w:ind w:left="1060" w:right="60" w:hanging="424"/>
        <w:spacing w:after="0" w:line="218"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June 30, 2019 at a weighted average exercise price of £1.45 per ordinary share;</w:t>
      </w:r>
    </w:p>
    <w:p>
      <w:pPr>
        <w:spacing w:after="0" w:line="27" w:lineRule="exact"/>
        <w:rPr>
          <w:rFonts w:ascii="MS PGothic" w:cs="MS PGothic" w:eastAsia="MS PGothic" w:hAnsi="MS PGothic"/>
          <w:sz w:val="25"/>
          <w:szCs w:val="25"/>
          <w:color w:val="auto"/>
          <w:vertAlign w:val="superscript"/>
        </w:rPr>
      </w:pPr>
    </w:p>
    <w:p>
      <w:pPr>
        <w:ind w:left="1060" w:right="340" w:hanging="424"/>
        <w:spacing w:after="0" w:line="218"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June 30,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jc w:val="both"/>
        <w:ind w:left="1060" w:right="460" w:hanging="424"/>
        <w:spacing w:after="0" w:line="223"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DBSP, as described in “Management—Equity Compensation Arrangements—The Mereo DBSP,” as of June 30, 2019;</w:t>
      </w:r>
    </w:p>
    <w:p>
      <w:pPr>
        <w:spacing w:after="0" w:line="28" w:lineRule="exact"/>
        <w:rPr>
          <w:rFonts w:ascii="MS PGothic" w:cs="MS PGothic" w:eastAsia="MS PGothic" w:hAnsi="MS PGothic"/>
          <w:sz w:val="25"/>
          <w:szCs w:val="25"/>
          <w:color w:val="auto"/>
          <w:vertAlign w:val="superscript"/>
        </w:rPr>
      </w:pPr>
    </w:p>
    <w:p>
      <w:pPr>
        <w:ind w:left="1060" w:right="40" w:hanging="424"/>
        <w:spacing w:after="0" w:line="223"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June 30, 2019 at a weighted average exercise price of £2.95 per ordinary share, including 621,954 warrants exercisable by Silicon Valley Bank and 621,954 warrants exercisable by Kreos Capital V (UK) Limited; and</w:t>
      </w:r>
    </w:p>
    <w:p>
      <w:pPr>
        <w:spacing w:after="0" w:line="28" w:lineRule="exact"/>
        <w:rPr>
          <w:rFonts w:ascii="MS PGothic" w:cs="MS PGothic" w:eastAsia="MS PGothic" w:hAnsi="MS PGothic"/>
          <w:sz w:val="25"/>
          <w:szCs w:val="25"/>
          <w:color w:val="auto"/>
          <w:vertAlign w:val="superscript"/>
        </w:rPr>
      </w:pPr>
    </w:p>
    <w:p>
      <w:pPr>
        <w:ind w:left="1060" w:right="100" w:hanging="424"/>
        <w:spacing w:after="0" w:line="218" w:lineRule="auto"/>
        <w:tabs>
          <w:tab w:leader="none" w:pos="10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June 30, 2019 at an exercise price of £0.003 per ordinary share exercisable by The Alpha-1 Project, Inc.</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If you invest in our ADSs in this offering, your ownership interest will be diluted immediately to the extent of the difference between the offering price per ADS paid by purchasers in this offering and our as adjusted net tangible book value per ADS after completion of this offering. For the convenience of the reader, we have translated pound sterling amounts in this section into U.S. dollars at the noon buying rate of the Federal Reserve Bank of New York on June 29, 2019, which was £1.00 to $1.2704. These translations should not be considered representations that any such amounts have been, could have been or could be converted into U.S. dollars at that or any other exchange rate as of that or any other date.</w:t>
      </w:r>
    </w:p>
    <w:p>
      <w:pPr>
        <w:spacing w:after="0" w:line="205"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At June 30, 2019, we had a net tangible book value of £29.8 million ($ 37.9 million), corresponding to a net tangible book value of £0.30 per ordinary share (equal to $1.93 per ADS). Net tangible book value per ordinary share represents the amount of our total assets less our total liabilities, excluding goodwill and other intangible assets, divided by the total number of our ordinary shares outstanding as of June 30, 2019.</w:t>
      </w:r>
    </w:p>
    <w:p>
      <w:pPr>
        <w:spacing w:after="0" w:line="202"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After giving effect to the sale of 2,859,104 ADSs in this offering at an assumed public offering price of $1.56 per ADS, which reflects the last reported sale price of our ADS on Nasdaq on February 8, 2020, and after deducting the estimated offering expenses payable by us, our as adjusted net tangible book value as of June 30, 2019 would have been £32.2 million ($40.9 million), representing an as adjusted net tangible book value of $1.82 per ADS, or $0.36 per ordinary share. This represents an immediate decrease in net tangible book value of $0.11 per ADS to existing shareholders and an immediate dilution of $0.51 per ADS, or $0.10 per ordinary share, to new investors purchasing ADSs in this offering. Dilution per ADS to new investors is determined by subtracting the as adjusted net tangible book value per ADS after this offering from the $0.26 per ordinary share (equivalent to $1.31 per ADS) paid by the selling shareholder. For the purposes of calculating dilution, the $25.0 million worth of ordinary shares issuable to the selling shareholder have been excluded from the calculation because, if utilized in full, would result in an immediate accretion in the as adjusted net tangible book value and is therefore not meaningful.</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this dilution to new investors purchasing ADSs in this offering.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4"/>
          </w:tcPr>
          <w:p>
            <w:pPr>
              <w:ind w:left="460"/>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ADS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Assumed public offering price</w:t>
            </w:r>
          </w:p>
        </w:tc>
        <w:tc>
          <w:tcPr>
            <w:tcW w:w="2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340"/>
              <w:spacing w:after="0" w:line="202" w:lineRule="exact"/>
              <w:rPr>
                <w:sz w:val="20"/>
                <w:szCs w:val="20"/>
                <w:color w:val="auto"/>
              </w:rPr>
            </w:pPr>
            <w:r>
              <w:rPr>
                <w:rFonts w:ascii="Arial" w:cs="Arial" w:eastAsia="Arial" w:hAnsi="Arial"/>
                <w:sz w:val="18"/>
                <w:szCs w:val="18"/>
                <w:color w:val="auto"/>
              </w:rPr>
              <w:t>Historical net tangible book value as of June 30, 2019</w:t>
            </w:r>
          </w:p>
        </w:tc>
        <w:tc>
          <w:tcPr>
            <w:tcW w:w="216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56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net tangible book value attributable to the offering</w:t>
            </w:r>
          </w:p>
        </w:tc>
        <w:tc>
          <w:tcPr>
            <w:tcW w:w="2160" w:type="dxa"/>
            <w:vAlign w:val="bottom"/>
            <w:gridSpan w:val="2"/>
            <w:shd w:val="clear" w:color="auto" w:fill="CCEEFF"/>
          </w:tcPr>
          <w:p>
            <w:pPr>
              <w:jc w:val="right"/>
              <w:ind w:right="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As adjusted net tangible book value as of June 30, 2019</w:t>
            </w:r>
          </w:p>
        </w:tc>
        <w:tc>
          <w:tcPr>
            <w:tcW w:w="216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56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to new investors in the offering</w:t>
            </w:r>
          </w:p>
        </w:tc>
        <w:tc>
          <w:tcPr>
            <w:tcW w:w="2160" w:type="dxa"/>
            <w:vAlign w:val="bottom"/>
            <w:gridSpan w:val="2"/>
            <w:shd w:val="clear" w:color="auto" w:fill="CCEEFF"/>
          </w:tcPr>
          <w:p>
            <w:pPr>
              <w:jc w:val="right"/>
              <w:ind w:right="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0.51</w:t>
            </w:r>
          </w:p>
        </w:tc>
        <w:tc>
          <w:tcPr>
            <w:tcW w:w="5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The dilution information above is illustrative only and will change based on the actual public offering price and other terms of this offering determined at pricing.</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and discussion above exclude (in each case, as calculated as of June 30, 2019 pursuant to the terms of each instrument):</w:t>
      </w:r>
    </w:p>
    <w:p>
      <w:pPr>
        <w:spacing w:after="0" w:line="239" w:lineRule="exact"/>
        <w:rPr>
          <w:sz w:val="20"/>
          <w:szCs w:val="20"/>
          <w:color w:val="auto"/>
        </w:rPr>
      </w:pPr>
    </w:p>
    <w:p>
      <w:pPr>
        <w:ind w:left="1060" w:right="80" w:hanging="424"/>
        <w:spacing w:after="0" w:line="218" w:lineRule="auto"/>
        <w:tabs>
          <w:tab w:leader="none" w:pos="10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June 30, 2019 at a weighted average exercise price of £1.45 per ordinary share;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300" w:hanging="424"/>
        <w:spacing w:after="0" w:line="218"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June 30,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jc w:val="both"/>
        <w:ind w:left="1060" w:right="420" w:hanging="424"/>
        <w:spacing w:after="0" w:line="223"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DBSP, as described in “Management—Equity Compensation Arrangements—The Mereo DBSP,” as of June 30, 2019;</w:t>
      </w:r>
    </w:p>
    <w:p>
      <w:pPr>
        <w:spacing w:after="0" w:line="28" w:lineRule="exact"/>
        <w:rPr>
          <w:rFonts w:ascii="MS PGothic" w:cs="MS PGothic" w:eastAsia="MS PGothic" w:hAnsi="MS PGothic"/>
          <w:sz w:val="25"/>
          <w:szCs w:val="25"/>
          <w:color w:val="auto"/>
          <w:vertAlign w:val="superscript"/>
        </w:rPr>
      </w:pPr>
    </w:p>
    <w:p>
      <w:pPr>
        <w:ind w:left="1060" w:hanging="424"/>
        <w:spacing w:after="0" w:line="223"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June 30, 2019 at a weighted average exercise price of £2.95 per ordinary share, including 621,954 warrants exercisable by Silicon Valley Bank and 621,954 warrants exercisable by Kreos Capital V (UK) Limited; and</w:t>
      </w:r>
    </w:p>
    <w:p>
      <w:pPr>
        <w:spacing w:after="0" w:line="28" w:lineRule="exact"/>
        <w:rPr>
          <w:rFonts w:ascii="MS PGothic" w:cs="MS PGothic" w:eastAsia="MS PGothic" w:hAnsi="MS PGothic"/>
          <w:sz w:val="25"/>
          <w:szCs w:val="25"/>
          <w:color w:val="auto"/>
          <w:vertAlign w:val="superscript"/>
        </w:rPr>
      </w:pPr>
    </w:p>
    <w:p>
      <w:pPr>
        <w:ind w:left="1060" w:right="60" w:hanging="424"/>
        <w:spacing w:after="0" w:line="218" w:lineRule="auto"/>
        <w:tabs>
          <w:tab w:leader="none" w:pos="10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June 30, 2019 at an exercise price of £0.003 per ordinary share exercisable by The Alpha-1 Project, Inc.</w:t>
      </w:r>
    </w:p>
    <w:p>
      <w:pPr>
        <w:spacing w:after="0" w:line="203"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To the extent that share or ADS options or warrants are exercised or we issue additional shares or ADSs in the future, there will be further dilution to investors participating in the offering. If we raise additional capital through the sale of equity or convertible debt securities, the issuance of these securities could result in further dilution to our shareholders.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85"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As of February 11, 2020, our issued share capital was £336,765 equivalent to 112,255,142 ordinary shares. The nominal value of our ordinary shares, including ordinary shares in the form of ADSs, is £0.003 per ordinary share. Each issued ordinary share is fully paid. 22,102,085 of our ordinary shares are represented by 4,420,417 ADSs.</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According to the resolutions passed in our annual general meeting held on June 19, 2019, our Board was authorized to (i) allot new shares or grant rights to subscribe for, or convert other securities into, shares up to an amount equal to 100% of our total issued ordinary share capital as at May 17, 2019,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In addition, according to written resolutions of our shareholders passed on June 2, 2016, our Board was authorized (i) to allot new ordinary shares up to a maximum nominal value of £350,000.00; and (ii) allot equity securities for cash without first being required to offer them to existing ordinary shareholders up to the same aggregate maximum nominal amount of £350,000.00. In each case, the authorization will last until the fifth anniversary of the passing of these written resolutions. The Initial Shares and Commission Shares were issued using part of the June 19, 2019 authority. As of February 11, 2020, authorization to allot ordinary shares up to a maximum aggregate nominal amount of £366,334 remained under the June 19, 2019 and June 2, 2016 authorities, representing up to 122,111,442 ordinary shares. To the extent that ordinary shares are issued pursuant to this offering during the remaining periods of the June 19, 2019 and June 2, 2016 authorities, those issuances will utilize the unutilized amount from time to time of whichever authority is used for the relevant issuance. If either authority is exhausted or expires, further shareholder authorities may be required for the future issuances of ordinary shares.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jc w:val="both"/>
        <w:ind w:left="200" w:right="100" w:firstLine="441"/>
        <w:spacing w:after="0" w:line="246" w:lineRule="auto"/>
        <w:rPr>
          <w:sz w:val="20"/>
          <w:szCs w:val="20"/>
          <w:color w:val="auto"/>
        </w:rPr>
      </w:pPr>
      <w:r>
        <w:rPr>
          <w:rFonts w:ascii="Arial" w:cs="Arial" w:eastAsia="Arial" w:hAnsi="Arial"/>
          <w:sz w:val="18"/>
          <w:szCs w:val="18"/>
          <w:color w:val="auto"/>
        </w:rPr>
        <w:t>As of December 31, 2019, there were options to purchase 12,430,806 ordinary shares outstanding under our equity incentive plans with a weighted average exercise price of £1.45 per ordinary share. The options generally lapse after 10 years from the date of the grant.</w:t>
      </w:r>
    </w:p>
    <w:p>
      <w:pPr>
        <w:spacing w:after="0" w:line="197" w:lineRule="exact"/>
        <w:rPr>
          <w:sz w:val="20"/>
          <w:szCs w:val="20"/>
          <w:color w:val="auto"/>
        </w:rPr>
      </w:pPr>
    </w:p>
    <w:p>
      <w:pPr>
        <w:ind w:left="200" w:right="640" w:firstLine="441"/>
        <w:spacing w:after="0" w:line="246" w:lineRule="auto"/>
        <w:rPr>
          <w:sz w:val="20"/>
          <w:szCs w:val="20"/>
          <w:color w:val="auto"/>
        </w:rPr>
      </w:pPr>
      <w:r>
        <w:rPr>
          <w:rFonts w:ascii="Arial" w:cs="Arial" w:eastAsia="Arial" w:hAnsi="Arial"/>
          <w:sz w:val="18"/>
          <w:szCs w:val="18"/>
          <w:color w:val="auto"/>
        </w:rPr>
        <w:t>As of December 31, 2019, there were options to purchase 782,400 ADSs outstanding under our equity incentive plans with a weighted average exercise price of $3.51 per ADS. The options generally lapse after 4 years from the date of grant.</w:t>
      </w:r>
    </w:p>
    <w:p>
      <w:pPr>
        <w:spacing w:after="0" w:line="197"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97" w:lineRule="exact"/>
        <w:rPr>
          <w:sz w:val="20"/>
          <w:szCs w:val="20"/>
          <w:color w:val="auto"/>
        </w:rPr>
      </w:pPr>
    </w:p>
    <w:p>
      <w:pPr>
        <w:ind w:left="200" w:right="540" w:firstLine="441"/>
        <w:spacing w:after="0" w:line="246"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97" w:lineRule="exact"/>
        <w:rPr>
          <w:sz w:val="20"/>
          <w:szCs w:val="20"/>
          <w:color w:val="auto"/>
        </w:rPr>
      </w:pPr>
    </w:p>
    <w:p>
      <w:pPr>
        <w:jc w:val="both"/>
        <w:ind w:left="200" w:right="180" w:firstLine="441"/>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203"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85"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As of December 31, 2019, there were warrants to purchase 1,243,908 ordinary shares at a weighted average exercise price of £ 2.95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Following the issuance of the New Novartis Notes and the Initial Shares under the Aspire Purchase Agreement, we expect to issue an additional 203,878 warrants at an average exercise price of £2.95 per ordinary share, including 101,939 warrants exercisable by Silicon Valley Bank and 101,939 warrants exercisable by Kreos Capital V (UK) Limited.</w:t>
      </w:r>
    </w:p>
    <w:p>
      <w:pPr>
        <w:spacing w:after="0" w:line="203"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As of December 31, 2019, there were warrants to purchase 41,286 ordinary shares at an exercise price of £0.003 per ordinary share exercisable by The Alpha-1 Project, Inc.</w:t>
      </w:r>
    </w:p>
    <w:p>
      <w:pPr>
        <w:spacing w:after="0" w:line="197"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1060" w:right="60" w:hanging="424"/>
        <w:spacing w:after="0" w:line="226" w:lineRule="auto"/>
        <w:tabs>
          <w:tab w:leader="none" w:pos="10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60" w:hanging="424"/>
        <w:spacing w:after="0"/>
        <w:tabs>
          <w:tab w:leader="none" w:pos="10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1060" w:right="60" w:hanging="424"/>
        <w:spacing w:after="0" w:line="218" w:lineRule="auto"/>
        <w:tabs>
          <w:tab w:leader="none" w:pos="10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Shares</w:t>
      </w:r>
    </w:p>
    <w:p>
      <w:pPr>
        <w:spacing w:after="0" w:line="99"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20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2"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the closing of the offering.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3" w:lineRule="exact"/>
        <w:rPr>
          <w:sz w:val="20"/>
          <w:szCs w:val="20"/>
          <w:color w:val="auto"/>
        </w:rPr>
      </w:pPr>
    </w:p>
    <w:p>
      <w:pPr>
        <w:ind w:left="1060" w:hanging="424"/>
        <w:spacing w:after="0"/>
        <w:tabs>
          <w:tab w:leader="none" w:pos="10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1060" w:hanging="424"/>
        <w:spacing w:after="0" w:line="223" w:lineRule="auto"/>
        <w:tabs>
          <w:tab w:leader="none" w:pos="10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85"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On June 19, 2019, our shareholders, in addition to the authorization noted above, authorized our Board to exclude pre-emptive rights for a period until the end of our next annual general meeting or, if earlier, 15 months from June 19, 2019 in respect of the allotment of ordinary shares or the grant of rights to subscribe for or convert securities into ordinary shares up to a maximum aggregate nominal amount of £288,070.78. The nominal value of our ordinary shares is £0.003 per ordinary share. For</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80"/>
        <w:spacing w:after="0"/>
        <w:rPr>
          <w:sz w:val="20"/>
          <w:szCs w:val="20"/>
          <w:color w:val="auto"/>
        </w:rPr>
      </w:pPr>
      <w:r>
        <w:rPr>
          <w:rFonts w:ascii="Arial" w:cs="Arial" w:eastAsia="Arial" w:hAnsi="Arial"/>
          <w:sz w:val="18"/>
          <w:szCs w:val="18"/>
          <w:color w:val="auto"/>
        </w:rPr>
        <w:t>further information relating to the Company’s existing authority to issue additional ordinary shares, see “—Share Capital.” On May 26, 2016, our shareholders authorized our Board to exclude pre-emptive rights up to a maximum aggregate nominal amount of £350,000, which expires on May 26, 2021.</w:t>
      </w:r>
    </w:p>
    <w:p>
      <w:pPr>
        <w:spacing w:after="0" w:line="203" w:lineRule="exact"/>
        <w:rPr>
          <w:sz w:val="20"/>
          <w:szCs w:val="20"/>
          <w:color w:val="auto"/>
        </w:rPr>
      </w:pPr>
    </w:p>
    <w:p>
      <w:pPr>
        <w:ind w:left="200" w:right="720" w:firstLine="441"/>
        <w:spacing w:after="0" w:line="246" w:lineRule="auto"/>
        <w:rPr>
          <w:sz w:val="20"/>
          <w:szCs w:val="20"/>
          <w:color w:val="auto"/>
        </w:rPr>
      </w:pPr>
      <w:r>
        <w:rPr>
          <w:rFonts w:ascii="Arial" w:cs="Arial" w:eastAsia="Arial" w:hAnsi="Arial"/>
          <w:sz w:val="18"/>
          <w:szCs w:val="18"/>
          <w:color w:val="auto"/>
        </w:rPr>
        <w:t>As at February 11, 2020, non pre-emptive authorization up to a maximum aggregate nominal amount of £366,334 remained available to the Company.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Objects</w:t>
      </w:r>
    </w:p>
    <w:p>
      <w:pPr>
        <w:spacing w:after="0" w:line="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objects of our company are unrestricted.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 Rights</w:t>
      </w:r>
    </w:p>
    <w:p>
      <w:pPr>
        <w:spacing w:after="0" w:line="41"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4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p>
    <w:p>
      <w:pPr>
        <w:spacing w:after="0" w:line="41"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1060" w:right="80" w:hanging="424"/>
        <w:spacing w:after="0" w:line="218" w:lineRule="auto"/>
        <w:tabs>
          <w:tab w:leader="none" w:pos="10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1060" w:hanging="424"/>
        <w:spacing w:after="0" w:line="223" w:lineRule="auto"/>
        <w:tabs>
          <w:tab w:leader="none" w:pos="10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1060" w:hanging="424"/>
        <w:spacing w:after="0" w:line="229" w:lineRule="auto"/>
        <w:tabs>
          <w:tab w:leader="none" w:pos="10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7" w:lineRule="exact"/>
        <w:rPr>
          <w:rFonts w:ascii="MS PGothic" w:cs="MS PGothic" w:eastAsia="MS PGothic" w:hAnsi="MS PGothic"/>
          <w:sz w:val="25"/>
          <w:szCs w:val="25"/>
          <w:color w:val="auto"/>
          <w:vertAlign w:val="superscript"/>
        </w:rPr>
      </w:pPr>
    </w:p>
    <w:p>
      <w:pPr>
        <w:ind w:left="1060" w:right="60" w:hanging="424"/>
        <w:spacing w:after="0" w:line="226" w:lineRule="auto"/>
        <w:tabs>
          <w:tab w:leader="none" w:pos="10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203"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4" w:lineRule="exact"/>
        <w:rPr>
          <w:sz w:val="20"/>
          <w:szCs w:val="20"/>
          <w:color w:val="auto"/>
        </w:rPr>
      </w:pPr>
    </w:p>
    <w:p>
      <w:pPr>
        <w:ind w:left="1060" w:hanging="424"/>
        <w:spacing w:after="0"/>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160" w:hanging="424"/>
        <w:spacing w:after="0" w:line="218" w:lineRule="auto"/>
        <w:tabs>
          <w:tab w:leader="none" w:pos="10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Restrictions on Voting</w:t>
      </w:r>
    </w:p>
    <w:p>
      <w:pPr>
        <w:spacing w:after="0" w:line="41"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200" w:right="440" w:firstLine="441"/>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41"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4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of Control</w:t>
      </w:r>
    </w:p>
    <w:p>
      <w:pPr>
        <w:spacing w:after="0" w:line="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Distributions on Winding Up</w:t>
      </w:r>
    </w:p>
    <w:p>
      <w:pPr>
        <w:spacing w:after="0" w:line="41"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Variation of Rights</w:t>
      </w:r>
    </w:p>
    <w:p>
      <w:pPr>
        <w:spacing w:after="0" w:line="41"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Alteration to Share Capital</w:t>
      </w:r>
    </w:p>
    <w:p>
      <w:pPr>
        <w:spacing w:after="0" w:line="41"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Preemption Rights</w:t>
      </w:r>
    </w:p>
    <w:p>
      <w:pPr>
        <w:spacing w:after="0" w:line="41"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99"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200" w:right="560" w:firstLine="441"/>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3" w:lineRule="exact"/>
        <w:rPr>
          <w:sz w:val="20"/>
          <w:szCs w:val="20"/>
          <w:color w:val="auto"/>
        </w:rPr>
      </w:pPr>
    </w:p>
    <w:p>
      <w:pPr>
        <w:ind w:left="1060" w:hanging="424"/>
        <w:spacing w:after="0"/>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1060" w:right="440" w:hanging="424"/>
        <w:spacing w:after="0" w:line="223"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firstLine="441"/>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CREST</w:t>
      </w:r>
    </w:p>
    <w:p>
      <w:pPr>
        <w:spacing w:after="0" w:line="99"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Annual General Meetings</w:t>
      </w:r>
    </w:p>
    <w:p>
      <w:pPr>
        <w:spacing w:after="0" w:line="54"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Notice of General Meetings</w:t>
      </w:r>
    </w:p>
    <w:p>
      <w:pPr>
        <w:spacing w:after="0" w:line="54" w:lineRule="exact"/>
        <w:rPr>
          <w:sz w:val="20"/>
          <w:szCs w:val="20"/>
          <w:color w:val="auto"/>
        </w:rPr>
      </w:pPr>
    </w:p>
    <w:p>
      <w:pPr>
        <w:ind w:left="200" w:right="740" w:firstLine="441"/>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Quorum of General Meetings</w:t>
      </w:r>
    </w:p>
    <w:p>
      <w:pPr>
        <w:spacing w:after="0" w:line="54"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Class Meetings</w:t>
      </w:r>
    </w:p>
    <w:p>
      <w:pPr>
        <w:spacing w:after="0" w:line="54"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Number of Directors</w:t>
      </w:r>
    </w:p>
    <w:p>
      <w:pPr>
        <w:spacing w:after="0" w:line="54"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Appointment of Directors</w:t>
      </w:r>
    </w:p>
    <w:p>
      <w:pPr>
        <w:spacing w:after="0" w:line="54"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3"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24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Directors’ Interests</w:t>
      </w:r>
    </w:p>
    <w:p>
      <w:pPr>
        <w:spacing w:after="0" w:line="41"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our interests (other than a situation that cannot reasonably be regarded as likely to give rise to a conflict of interest or a conflict of interest arising in relation to a transaction or arrangement with us), the board may authorize in accordance with the U.K. Companies Act 2006 the director’s interest and the continuing performance by the relevant director of his or her duties as a director on such terms as the board may determine.</w:t>
      </w:r>
    </w:p>
    <w:p>
      <w:pPr>
        <w:spacing w:after="0" w:line="203"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A director shall not be accountable to us for any benefit which he or she derives from or in connection with a relationship involving a conflict of interest or possible conflict of interest which has been authorized by the directors or by us in a general meeting and any such transaction or arrangement shall not be liable to be avoided on the grounds of any such benefit.</w:t>
      </w:r>
    </w:p>
    <w:p>
      <w:pPr>
        <w:spacing w:after="0" w:line="203"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9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or hers and provided a majority of the other directors consent, or if one of the following situations applies:</w:t>
      </w:r>
    </w:p>
    <w:p>
      <w:pPr>
        <w:spacing w:after="0" w:line="193" w:lineRule="exact"/>
        <w:rPr>
          <w:sz w:val="20"/>
          <w:szCs w:val="20"/>
          <w:color w:val="auto"/>
        </w:rPr>
      </w:pPr>
    </w:p>
    <w:p>
      <w:pPr>
        <w:ind w:left="1060" w:hanging="424"/>
        <w:spacing w:after="0"/>
        <w:tabs>
          <w:tab w:leader="none" w:pos="10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arises solely through an interest in shares, debentures or other securities of or otherwise in or through us;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ours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520" w:right="140" w:hanging="438"/>
        <w:spacing w:after="0" w:line="218" w:lineRule="auto"/>
        <w:tabs>
          <w:tab w:leader="none" w:pos="1520" w:val="left"/>
        </w:tabs>
        <w:numPr>
          <w:ilvl w:val="1"/>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us or any of our subsidiaries;</w:t>
      </w:r>
    </w:p>
    <w:p>
      <w:pPr>
        <w:spacing w:after="0" w:line="27" w:lineRule="exact"/>
        <w:rPr>
          <w:rFonts w:ascii="MS PGothic" w:cs="MS PGothic" w:eastAsia="MS PGothic" w:hAnsi="MS PGothic"/>
          <w:sz w:val="25"/>
          <w:szCs w:val="25"/>
          <w:color w:val="auto"/>
          <w:vertAlign w:val="superscript"/>
        </w:rPr>
      </w:pPr>
    </w:p>
    <w:p>
      <w:pPr>
        <w:ind w:left="1520" w:right="80" w:hanging="438"/>
        <w:spacing w:after="0" w:line="223" w:lineRule="auto"/>
        <w:tabs>
          <w:tab w:leader="none" w:pos="1520" w:val="left"/>
        </w:tabs>
        <w:numPr>
          <w:ilvl w:val="1"/>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us or any of our subsidiaries, or to underwrite, sub-underwrite or guarantee an offer of any such shares or securities by us or any of our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520" w:right="540" w:hanging="438"/>
        <w:spacing w:after="0" w:line="229" w:lineRule="auto"/>
        <w:tabs>
          <w:tab w:leader="none" w:pos="1520" w:val="left"/>
        </w:tabs>
        <w:numPr>
          <w:ilvl w:val="1"/>
          <w:numId w:val="25"/>
        </w:numPr>
        <w:rPr>
          <w:rFonts w:ascii="MS PGothic" w:cs="MS PGothic" w:eastAsia="MS PGothic" w:hAnsi="MS PGothic"/>
          <w:sz w:val="24"/>
          <w:szCs w:val="24"/>
          <w:color w:val="auto"/>
          <w:vertAlign w:val="superscript"/>
        </w:rPr>
      </w:pPr>
      <w:r>
        <w:rPr>
          <w:rFonts w:ascii="Arial" w:cs="Arial" w:eastAsia="Arial" w:hAnsi="Arial"/>
          <w:sz w:val="17"/>
          <w:szCs w:val="17"/>
          <w:color w:val="auto"/>
        </w:rPr>
        <w:t>arrangements pursuant to which benefits are made available to employees and directors, or former employees and directors, of us or any of our subsidiaries which do not provide special benefits for directors or former directors;</w:t>
      </w:r>
    </w:p>
    <w:p>
      <w:pPr>
        <w:spacing w:after="0" w:line="1" w:lineRule="exact"/>
        <w:rPr>
          <w:rFonts w:ascii="MS PGothic" w:cs="MS PGothic" w:eastAsia="MS PGothic" w:hAnsi="MS PGothic"/>
          <w:sz w:val="24"/>
          <w:szCs w:val="24"/>
          <w:color w:val="auto"/>
          <w:vertAlign w:val="superscript"/>
        </w:rPr>
      </w:pPr>
    </w:p>
    <w:p>
      <w:pPr>
        <w:ind w:left="1520" w:hanging="438"/>
        <w:spacing w:after="0" w:line="230" w:lineRule="auto"/>
        <w:tabs>
          <w:tab w:leader="none" w:pos="1520" w:val="left"/>
        </w:tabs>
        <w:numPr>
          <w:ilvl w:val="1"/>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we are empowered to purchase or maintain for directors or officers;</w:t>
      </w:r>
    </w:p>
    <w:p>
      <w:pPr>
        <w:spacing w:after="0" w:line="26" w:lineRule="exact"/>
        <w:rPr>
          <w:rFonts w:ascii="MS PGothic" w:cs="MS PGothic" w:eastAsia="MS PGothic" w:hAnsi="MS PGothic"/>
          <w:sz w:val="25"/>
          <w:szCs w:val="25"/>
          <w:color w:val="auto"/>
          <w:vertAlign w:val="superscript"/>
        </w:rPr>
      </w:pPr>
    </w:p>
    <w:p>
      <w:pPr>
        <w:ind w:left="1520" w:right="200" w:hanging="438"/>
        <w:spacing w:after="0" w:line="218" w:lineRule="auto"/>
        <w:tabs>
          <w:tab w:leader="none" w:pos="1520" w:val="left"/>
        </w:tabs>
        <w:numPr>
          <w:ilvl w:val="1"/>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or her duties;</w:t>
      </w:r>
    </w:p>
    <w:p>
      <w:pPr>
        <w:spacing w:after="0" w:line="27" w:lineRule="exact"/>
        <w:rPr>
          <w:rFonts w:ascii="MS PGothic" w:cs="MS PGothic" w:eastAsia="MS PGothic" w:hAnsi="MS PGothic"/>
          <w:sz w:val="25"/>
          <w:szCs w:val="25"/>
          <w:color w:val="auto"/>
          <w:vertAlign w:val="superscript"/>
        </w:rPr>
      </w:pPr>
    </w:p>
    <w:p>
      <w:pPr>
        <w:ind w:left="1520" w:hanging="438"/>
        <w:spacing w:after="0" w:line="223" w:lineRule="auto"/>
        <w:tabs>
          <w:tab w:leader="none" w:pos="1520" w:val="left"/>
        </w:tabs>
        <w:numPr>
          <w:ilvl w:val="1"/>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her or in connection with any application under certain provisions of the U.K. Companies Act 2006 or otherwise enabling him or her to avoid incurring that expenditure; or</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520" w:right="100" w:hanging="438"/>
        <w:spacing w:after="0" w:line="228" w:lineRule="auto"/>
        <w:tabs>
          <w:tab w:leader="none" w:pos="152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or her do not to his or her knowledge hold an interest in shares representing 1% or more of the issued shares of any class of the equity share capital of that company (or of any third company through which his or their interest is derived) or of the voting rights available to shareholders of the relevant company.</w:t>
      </w:r>
    </w:p>
    <w:p>
      <w:pPr>
        <w:spacing w:after="0" w:line="202"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A director shall not be counted in the quorum present at a meeting in relation to a resolution on which he or she is not entitled to vote by reason of his or her interest.</w:t>
      </w:r>
    </w:p>
    <w:p>
      <w:pPr>
        <w:spacing w:after="0" w:line="197" w:lineRule="exact"/>
        <w:rPr>
          <w:sz w:val="20"/>
          <w:szCs w:val="20"/>
          <w:color w:val="auto"/>
        </w:rPr>
      </w:pPr>
    </w:p>
    <w:p>
      <w:pPr>
        <w:jc w:val="both"/>
        <w:ind w:left="200" w:right="100" w:firstLine="441"/>
        <w:spacing w:after="0"/>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or her voluntarily agreeing to abstain from voting, the question shall be determined by a resolution of the board or such committee (with such director being excluded from voting on the resolution).</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Directors’ Fees and Remuneration</w:t>
      </w:r>
    </w:p>
    <w:p>
      <w:pPr>
        <w:spacing w:after="0" w:line="41" w:lineRule="exact"/>
        <w:rPr>
          <w:sz w:val="20"/>
          <w:szCs w:val="20"/>
          <w:color w:val="auto"/>
        </w:rPr>
      </w:pPr>
    </w:p>
    <w:p>
      <w:pPr>
        <w:ind w:left="200" w:right="760" w:firstLine="441"/>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us.</w:t>
      </w:r>
    </w:p>
    <w:p>
      <w:pPr>
        <w:spacing w:after="0" w:line="197" w:lineRule="exact"/>
        <w:rPr>
          <w:sz w:val="20"/>
          <w:szCs w:val="20"/>
          <w:color w:val="auto"/>
        </w:rPr>
      </w:pPr>
    </w:p>
    <w:p>
      <w:pPr>
        <w:jc w:val="both"/>
        <w:ind w:left="200" w:right="60" w:firstLine="441"/>
        <w:spacing w:after="0"/>
        <w:rPr>
          <w:sz w:val="20"/>
          <w:szCs w:val="20"/>
          <w:color w:val="auto"/>
        </w:rPr>
      </w:pPr>
      <w:r>
        <w:rPr>
          <w:rFonts w:ascii="Arial" w:cs="Arial" w:eastAsia="Arial" w:hAnsi="Arial"/>
          <w:sz w:val="18"/>
          <w:szCs w:val="18"/>
          <w:color w:val="auto"/>
        </w:rPr>
        <w:t>Each director may be paid his or her reasonable expenses in connection with such director’s attendance at meetings of the board or committees of the board or general meetings or separate meetings of the holders of any class of shares or of debentures, or otherwise in connection with the exercise of powers and the discharge of responsibilities in relation to us.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Indemnity</w:t>
      </w:r>
    </w:p>
    <w:p>
      <w:pPr>
        <w:spacing w:after="0" w:line="41" w:lineRule="exact"/>
        <w:rPr>
          <w:sz w:val="20"/>
          <w:szCs w:val="20"/>
          <w:color w:val="auto"/>
        </w:rPr>
      </w:pPr>
    </w:p>
    <w:p>
      <w:pPr>
        <w:jc w:val="both"/>
        <w:ind w:left="200" w:firstLine="441"/>
        <w:spacing w:after="0" w:line="239" w:lineRule="auto"/>
        <w:rPr>
          <w:sz w:val="20"/>
          <w:szCs w:val="20"/>
          <w:color w:val="auto"/>
        </w:rPr>
      </w:pPr>
      <w:r>
        <w:rPr>
          <w:rFonts w:ascii="Arial" w:cs="Arial" w:eastAsia="Arial" w:hAnsi="Arial"/>
          <w:sz w:val="18"/>
          <w:szCs w:val="18"/>
          <w:color w:val="auto"/>
        </w:rPr>
        <w:t>Every director, officer or former director or officer of our group may be indemnified against all costs, charges, losses, expenses and liabilities incurred by him or her in connection with any negligence, default, breach of duty, or breach of trust by him or her in relation to us or in connection with our activities as a trustee of an occupational pension scheme, in the actual or purported exercise of his or her powers or duties or otherwise as our officer, to the extent permitted under the U.K. Companies Act 2006.</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Novartis Observer</w:t>
      </w:r>
    </w:p>
    <w:p>
      <w:pPr>
        <w:spacing w:after="0" w:line="41"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w:t>
      </w:r>
    </w:p>
    <w:p>
      <w:pPr>
        <w:spacing w:after="0" w:line="175" w:lineRule="exact"/>
        <w:rPr>
          <w:sz w:val="20"/>
          <w:szCs w:val="20"/>
          <w:color w:val="auto"/>
        </w:rPr>
      </w:pPr>
    </w:p>
    <w:p>
      <w:pPr>
        <w:jc w:val="right"/>
        <w:ind w:right="834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81"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Notification of Voting Rights</w:t>
      </w:r>
    </w:p>
    <w:p>
      <w:pPr>
        <w:spacing w:after="0" w:line="41"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41"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 Out</w:t>
      </w:r>
    </w:p>
    <w:p>
      <w:pPr>
        <w:spacing w:after="0" w:line="4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Disclosure of Interest in Shares</w:t>
      </w:r>
    </w:p>
    <w:p>
      <w:pPr>
        <w:spacing w:after="0" w:line="41"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203" w:lineRule="exact"/>
        <w:rPr>
          <w:sz w:val="20"/>
          <w:szCs w:val="20"/>
          <w:color w:val="auto"/>
        </w:rPr>
      </w:pPr>
    </w:p>
    <w:p>
      <w:pPr>
        <w:ind w:left="200" w:right="460" w:firstLine="441"/>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24" w:lineRule="exact"/>
        <w:rPr>
          <w:sz w:val="20"/>
          <w:szCs w:val="20"/>
          <w:color w:val="auto"/>
        </w:rPr>
      </w:pPr>
    </w:p>
    <w:p>
      <w:pPr>
        <w:ind w:left="1060" w:right="560" w:hanging="424"/>
        <w:spacing w:after="0" w:line="218"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1060" w:right="120" w:hanging="424"/>
        <w:spacing w:after="0" w:line="228"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26" w:lineRule="exact"/>
        <w:rPr>
          <w:rFonts w:ascii="MS PGothic" w:cs="MS PGothic" w:eastAsia="MS PGothic" w:hAnsi="MS PGothic"/>
          <w:sz w:val="25"/>
          <w:szCs w:val="25"/>
          <w:color w:val="auto"/>
          <w:vertAlign w:val="superscript"/>
        </w:rPr>
      </w:pPr>
    </w:p>
    <w:p>
      <w:pPr>
        <w:ind w:left="1060" w:right="20" w:hanging="424"/>
        <w:spacing w:after="0" w:line="229" w:lineRule="auto"/>
        <w:tabs>
          <w:tab w:leader="none" w:pos="10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Purchase of Own Shares</w:t>
      </w:r>
    </w:p>
    <w:p>
      <w:pPr>
        <w:spacing w:after="0" w:line="54"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3"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1060" w:hanging="424"/>
        <w:spacing w:after="0"/>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Distributions and Dividends</w:t>
      </w:r>
    </w:p>
    <w:p>
      <w:pPr>
        <w:spacing w:after="0" w:line="54"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1060" w:right="180" w:hanging="424"/>
        <w:spacing w:after="0" w:line="218"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1060" w:right="180" w:hanging="424"/>
        <w:spacing w:after="0" w:line="218" w:lineRule="auto"/>
        <w:tabs>
          <w:tab w:leader="none" w:pos="10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City Code on Takeovers and Mergers</w:t>
      </w:r>
    </w:p>
    <w:p>
      <w:pPr>
        <w:spacing w:after="0" w:line="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216" w:lineRule="exact"/>
        <w:rPr>
          <w:sz w:val="20"/>
          <w:szCs w:val="20"/>
          <w:color w:val="auto"/>
        </w:rPr>
      </w:pPr>
    </w:p>
    <w:p>
      <w:pPr>
        <w:ind w:left="1060" w:right="100" w:hanging="424"/>
        <w:spacing w:after="0" w:line="218" w:lineRule="auto"/>
        <w:tabs>
          <w:tab w:leader="none" w:pos="10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1060" w:right="40" w:hanging="424"/>
        <w:spacing w:after="0" w:line="223" w:lineRule="auto"/>
        <w:tabs>
          <w:tab w:leader="none" w:pos="10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96"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Exchange Controls</w:t>
      </w:r>
    </w:p>
    <w:p>
      <w:pPr>
        <w:spacing w:after="0" w:line="54"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67" w:lineRule="exact"/>
        <w:rPr>
          <w:sz w:val="20"/>
          <w:szCs w:val="20"/>
          <w:color w:val="auto"/>
        </w:rPr>
      </w:pPr>
    </w:p>
    <w:p>
      <w:pPr>
        <w:ind w:left="200" w:right="180" w:firstLine="441"/>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Number of</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9673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the U.K. Companies Act 2006, a public limited company must have at least two directors. Our Articles further provide that, unless otherwise determined by an ordinary resolution, the number of our directors shall be not less than two nor more than nine in number.</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currently consists of nine members.</w:t>
      </w:r>
    </w:p>
    <w:p>
      <w:pPr>
        <w:spacing w:after="0" w:line="7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w:t>
      </w:r>
    </w:p>
    <w:p>
      <w:pPr>
        <w:spacing w:after="0" w:line="13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838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ectPr>
          <w:pgSz w:w="11900" w:h="16838" w:orient="portrait"/>
          <w:cols w:equalWidth="0" w:num="3">
            <w:col w:w="1260" w:space="720"/>
            <w:col w:w="4620" w:space="160"/>
            <w:col w:w="4400"/>
          </w:cols>
          <w:pgMar w:left="240" w:top="459" w:right="49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participate or vote in, any meeting of our board of</w:t>
            </w:r>
          </w:p>
        </w:tc>
      </w:tr>
      <w:tr>
        <w:trPr>
          <w:trHeight w:val="217"/>
        </w:trPr>
        <w:tc>
          <w:tcPr>
            <w:tcW w:w="1340" w:type="dxa"/>
            <w:vAlign w:val="bottom"/>
          </w:tcPr>
          <w:p>
            <w:pPr>
              <w:spacing w:after="0"/>
              <w:rPr>
                <w:sz w:val="18"/>
                <w:szCs w:val="18"/>
                <w:color w:val="auto"/>
              </w:rPr>
            </w:pPr>
          </w:p>
        </w:tc>
        <w:tc>
          <w:tcPr>
            <w:tcW w:w="5120" w:type="dxa"/>
            <w:vAlign w:val="bottom"/>
            <w:gridSpan w:val="2"/>
          </w:tcPr>
          <w:p>
            <w:pPr>
              <w:ind w:left="440"/>
              <w:spacing w:after="0"/>
              <w:rPr>
                <w:sz w:val="20"/>
                <w:szCs w:val="20"/>
                <w:color w:val="auto"/>
              </w:rPr>
            </w:pPr>
            <w:r>
              <w:rPr>
                <w:rFonts w:ascii="Arial" w:cs="Arial" w:eastAsia="Arial" w:hAnsi="Arial"/>
                <w:sz w:val="18"/>
                <w:szCs w:val="18"/>
                <w:color w:val="auto"/>
              </w:rPr>
              <w:t>directors.</w:t>
            </w:r>
          </w:p>
        </w:tc>
      </w:tr>
      <w:tr>
        <w:trPr>
          <w:trHeight w:val="256"/>
        </w:trPr>
        <w:tc>
          <w:tcPr>
            <w:tcW w:w="1340" w:type="dxa"/>
            <w:vAlign w:val="bottom"/>
          </w:tcPr>
          <w:p>
            <w:pPr>
              <w:spacing w:after="0"/>
              <w:rPr>
                <w:sz w:val="20"/>
                <w:szCs w:val="20"/>
                <w:color w:val="auto"/>
              </w:rPr>
            </w:pPr>
            <w:r>
              <w:rPr>
                <w:rFonts w:ascii="Arial" w:cs="Arial" w:eastAsia="Arial" w:hAnsi="Arial"/>
                <w:sz w:val="18"/>
                <w:szCs w:val="18"/>
                <w:color w:val="auto"/>
              </w:rPr>
              <w:t>Removal of</w:t>
            </w:r>
          </w:p>
        </w:tc>
        <w:tc>
          <w:tcPr>
            <w:tcW w:w="5120" w:type="dxa"/>
            <w:vAlign w:val="bottom"/>
            <w:gridSpan w:val="2"/>
          </w:tcPr>
          <w:p>
            <w:pPr>
              <w:ind w:left="440"/>
              <w:spacing w:after="0"/>
              <w:rPr>
                <w:sz w:val="20"/>
                <w:szCs w:val="20"/>
                <w:color w:val="auto"/>
              </w:rPr>
            </w:pPr>
            <w:r>
              <w:rPr>
                <w:rFonts w:ascii="Arial" w:cs="Arial" w:eastAsia="Arial" w:hAnsi="Arial"/>
                <w:sz w:val="18"/>
                <w:szCs w:val="18"/>
                <w:color w:val="auto"/>
              </w:rPr>
              <w:t>Under the U.K. Companies Act 2006, a company may</w:t>
            </w: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remove a director without cause at a general meeting by</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way of an ordinary resolution of shareholders (which is</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passed by a simple majority of those voting in person or</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by proxy at a general meeting), irrespective of any</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provision of any agreement or service contract between</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the director and the company, provided that 28 clear days’</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notice of the proposed resolution to remove the director is</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given and certain other procedural requirements under the</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U.K. Companies Act 2006 are followed (such as allowing</w:t>
            </w:r>
          </w:p>
        </w:tc>
      </w:tr>
      <w:tr>
        <w:trPr>
          <w:trHeight w:val="203"/>
        </w:trPr>
        <w:tc>
          <w:tcPr>
            <w:tcW w:w="1340" w:type="dxa"/>
            <w:vAlign w:val="bottom"/>
          </w:tcPr>
          <w:p>
            <w:pPr>
              <w:spacing w:after="0"/>
              <w:rPr>
                <w:sz w:val="17"/>
                <w:szCs w:val="17"/>
                <w:color w:val="auto"/>
              </w:rPr>
            </w:pPr>
          </w:p>
        </w:tc>
        <w:tc>
          <w:tcPr>
            <w:tcW w:w="51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the director to make representations against his or her</w:t>
            </w:r>
          </w:p>
        </w:tc>
      </w:tr>
      <w:tr>
        <w:trPr>
          <w:trHeight w:val="217"/>
        </w:trPr>
        <w:tc>
          <w:tcPr>
            <w:tcW w:w="1340" w:type="dxa"/>
            <w:vAlign w:val="bottom"/>
          </w:tcPr>
          <w:p>
            <w:pPr>
              <w:spacing w:after="0"/>
              <w:rPr>
                <w:sz w:val="18"/>
                <w:szCs w:val="18"/>
                <w:color w:val="auto"/>
              </w:rPr>
            </w:pPr>
          </w:p>
        </w:tc>
        <w:tc>
          <w:tcPr>
            <w:tcW w:w="5120" w:type="dxa"/>
            <w:vAlign w:val="bottom"/>
            <w:gridSpan w:val="2"/>
          </w:tcPr>
          <w:p>
            <w:pPr>
              <w:ind w:left="440"/>
              <w:spacing w:after="0"/>
              <w:rPr>
                <w:sz w:val="20"/>
                <w:szCs w:val="20"/>
                <w:color w:val="auto"/>
              </w:rPr>
            </w:pPr>
            <w:r>
              <w:rPr>
                <w:rFonts w:ascii="Arial" w:cs="Arial" w:eastAsia="Arial" w:hAnsi="Arial"/>
                <w:sz w:val="18"/>
                <w:szCs w:val="18"/>
                <w:color w:val="auto"/>
              </w:rPr>
              <w:t>removal either at the meeting or in writing).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80" w:right="180"/>
        <w:spacing w:after="0" w:line="236" w:lineRule="auto"/>
        <w:rPr>
          <w:sz w:val="20"/>
          <w:szCs w:val="20"/>
          <w:color w:val="auto"/>
        </w:rPr>
      </w:pPr>
      <w:r>
        <w:rPr>
          <w:rFonts w:ascii="Arial" w:cs="Arial" w:eastAsia="Arial" w:hAnsi="Arial"/>
          <w:sz w:val="18"/>
          <w:szCs w:val="18"/>
          <w:color w:val="auto"/>
        </w:rPr>
        <w:t>In addition to any power of removal under the U.K. Companies Act 2006, under our Articles, we may, by special resolution or ordinary resolution (of which special notice has been given in accordance with section 312 of the U.K. Companies Act 2006) remove any director from office (but without prejudice to any claim he or she may have for damages for breach of any agreement between us and the relevant director) and, by ordinary resolution, appoint another person to act as director in his or her place.</w:t>
      </w:r>
    </w:p>
    <w:p>
      <w:pPr>
        <w:spacing w:after="0" w:line="54" w:lineRule="exact"/>
        <w:rPr>
          <w:sz w:val="20"/>
          <w:szCs w:val="20"/>
          <w:color w:val="auto"/>
        </w:rPr>
      </w:pPr>
    </w:p>
    <w:p>
      <w:pPr>
        <w:ind w:left="200"/>
        <w:spacing w:after="0"/>
        <w:tabs>
          <w:tab w:leader="none" w:pos="1960" w:val="left"/>
        </w:tabs>
        <w:rPr>
          <w:sz w:val="20"/>
          <w:szCs w:val="20"/>
          <w:color w:val="auto"/>
        </w:rPr>
      </w:pPr>
      <w:r>
        <w:rPr>
          <w:rFonts w:ascii="Arial" w:cs="Arial" w:eastAsia="Arial" w:hAnsi="Arial"/>
          <w:sz w:val="18"/>
          <w:szCs w:val="18"/>
          <w:color w:val="auto"/>
        </w:rPr>
        <w:t>Vacancies on the</w:t>
      </w:r>
      <w:r>
        <w:rPr>
          <w:sz w:val="20"/>
          <w:szCs w:val="20"/>
          <w:color w:val="auto"/>
        </w:rPr>
        <w:tab/>
      </w:r>
      <w:r>
        <w:rPr>
          <w:rFonts w:ascii="Arial" w:cs="Arial" w:eastAsia="Arial" w:hAnsi="Arial"/>
          <w:sz w:val="17"/>
          <w:szCs w:val="17"/>
          <w:color w:val="auto"/>
        </w:rPr>
        <w:t>Under our Articles, we may by ordinary resolution appoint</w:t>
      </w:r>
    </w:p>
    <w:p>
      <w:pPr>
        <w:ind w:left="200"/>
        <w:spacing w:after="0"/>
        <w:tabs>
          <w:tab w:leader="none" w:pos="1960" w:val="left"/>
        </w:tabs>
        <w:rPr>
          <w:sz w:val="20"/>
          <w:szCs w:val="20"/>
          <w:color w:val="auto"/>
        </w:rPr>
      </w:pPr>
      <w:r>
        <w:rPr>
          <w:rFonts w:ascii="Arial" w:cs="Arial" w:eastAsia="Arial" w:hAnsi="Arial"/>
          <w:sz w:val="18"/>
          <w:szCs w:val="18"/>
          <w:color w:val="auto"/>
        </w:rPr>
        <w:t>Board of</w:t>
      </w:r>
      <w:r>
        <w:rPr>
          <w:sz w:val="20"/>
          <w:szCs w:val="20"/>
          <w:color w:val="auto"/>
        </w:rPr>
        <w:tab/>
      </w:r>
      <w:r>
        <w:rPr>
          <w:rFonts w:ascii="Arial" w:cs="Arial" w:eastAsia="Arial" w:hAnsi="Arial"/>
          <w:sz w:val="17"/>
          <w:szCs w:val="17"/>
          <w:color w:val="auto"/>
        </w:rPr>
        <w:t>a person who is willing to act to be a director, either to fill a</w:t>
      </w:r>
    </w:p>
    <w:p>
      <w:pPr>
        <w:ind w:left="200"/>
        <w:spacing w:after="0" w:line="235" w:lineRule="auto"/>
        <w:tabs>
          <w:tab w:leader="none" w:pos="196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vacancy or as an additional director and our board of</w:t>
      </w:r>
    </w:p>
    <w:p>
      <w:pPr>
        <w:spacing w:after="0" w:line="1" w:lineRule="exact"/>
        <w:rPr>
          <w:sz w:val="20"/>
          <w:szCs w:val="20"/>
          <w:color w:val="auto"/>
        </w:rPr>
      </w:pPr>
    </w:p>
    <w:p>
      <w:pPr>
        <w:ind w:left="1980" w:right="20"/>
        <w:spacing w:after="0" w:line="237" w:lineRule="auto"/>
        <w:rPr>
          <w:sz w:val="20"/>
          <w:szCs w:val="20"/>
          <w:color w:val="auto"/>
        </w:rPr>
      </w:pPr>
      <w:r>
        <w:rPr>
          <w:rFonts w:ascii="Arial" w:cs="Arial" w:eastAsia="Arial" w:hAnsi="Arial"/>
          <w:sz w:val="18"/>
          <w:szCs w:val="18"/>
          <w:color w:val="auto"/>
        </w:rPr>
        <w:t>directors may appoint a person who is willing to act to be a director, either to fill a vacancy or as an additional director, provided in each case that the appointment does not cause the number of directors to exceed the number fixed by or in accordance with our Articles as the maximum number of directors.</w:t>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38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 w:right="180"/>
        <w:spacing w:after="0" w:line="248" w:lineRule="auto"/>
        <w:rPr>
          <w:sz w:val="20"/>
          <w:szCs w:val="20"/>
          <w:color w:val="auto"/>
        </w:rPr>
      </w:pPr>
      <w:r>
        <w:rPr>
          <w:rFonts w:ascii="Arial" w:cs="Arial" w:eastAsia="Arial" w:hAnsi="Arial"/>
          <w:sz w:val="17"/>
          <w:szCs w:val="17"/>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w:t>
      </w:r>
    </w:p>
    <w:p>
      <w:pPr>
        <w:spacing w:after="0" w:line="3" w:lineRule="exact"/>
        <w:rPr>
          <w:sz w:val="20"/>
          <w:szCs w:val="20"/>
          <w:color w:val="auto"/>
        </w:rPr>
      </w:pPr>
    </w:p>
    <w:p>
      <w:pPr>
        <w:ind w:left="6" w:hanging="6"/>
        <w:spacing w:after="0" w:line="236" w:lineRule="auto"/>
        <w:tabs>
          <w:tab w:leader="none" w:pos="2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 w:right="60"/>
        <w:spacing w:after="0" w:line="236"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w:t>
      </w:r>
    </w:p>
    <w:p>
      <w:pPr>
        <w:sectPr>
          <w:pgSz w:w="11900" w:h="16838" w:orient="portrait"/>
          <w:cols w:equalWidth="0" w:num="2">
            <w:col w:w="6660" w:space="94"/>
            <w:col w:w="4466"/>
          </w:cols>
          <w:pgMar w:left="240" w:top="459" w:right="4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668"/>
        </w:trPr>
        <w:tc>
          <w:tcPr>
            <w:tcW w:w="1580" w:type="dxa"/>
            <w:vAlign w:val="bottom"/>
          </w:tcPr>
          <w:p>
            <w:pPr>
              <w:spacing w:after="0"/>
              <w:rPr>
                <w:sz w:val="20"/>
                <w:szCs w:val="20"/>
                <w:color w:val="auto"/>
              </w:rPr>
            </w:pPr>
            <w:r>
              <w:rPr>
                <w:rFonts w:ascii="Arial" w:cs="Arial" w:eastAsia="Arial" w:hAnsi="Arial"/>
                <w:sz w:val="18"/>
                <w:szCs w:val="18"/>
                <w:color w:val="auto"/>
              </w:rPr>
              <w:t>Annual General</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Under the U.K. Companies Act 2006, a public limited</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Meeting</w:t>
            </w: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accounting reference date.</w:t>
            </w:r>
          </w:p>
        </w:tc>
      </w:tr>
      <w:tr>
        <w:trPr>
          <w:trHeight w:val="458"/>
        </w:trPr>
        <w:tc>
          <w:tcPr>
            <w:tcW w:w="1580" w:type="dxa"/>
            <w:vAlign w:val="bottom"/>
          </w:tcPr>
          <w:p>
            <w:pPr>
              <w:spacing w:after="0"/>
              <w:rPr>
                <w:sz w:val="20"/>
                <w:szCs w:val="20"/>
                <w:color w:val="auto"/>
              </w:rPr>
            </w:pPr>
            <w:r>
              <w:rPr>
                <w:rFonts w:ascii="Arial" w:cs="Arial" w:eastAsia="Arial" w:hAnsi="Arial"/>
                <w:sz w:val="18"/>
                <w:szCs w:val="18"/>
                <w:color w:val="auto"/>
              </w:rPr>
              <w:t>General Meeting</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Under the U.K. Companies Act 2006, a general meeting of</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the shareholders of a public limited company may be</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called by the directors.</w:t>
            </w:r>
          </w:p>
        </w:tc>
      </w:tr>
      <w:tr>
        <w:trPr>
          <w:trHeight w:val="458"/>
        </w:trPr>
        <w:tc>
          <w:tcPr>
            <w:tcW w:w="1580" w:type="dxa"/>
            <w:vAlign w:val="bottom"/>
          </w:tcPr>
          <w:p>
            <w:pPr>
              <w:spacing w:after="0"/>
              <w:rPr>
                <w:sz w:val="24"/>
                <w:szCs w:val="24"/>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Subject to the notice requirements of the U.K. Companies</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Act 2006 outlined below and subject to our Articles, a</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general meeting of our shareholders may be called by our</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board of directors whenever and at such times and places</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as it shall determine.</w:t>
            </w:r>
          </w:p>
        </w:tc>
      </w:tr>
      <w:tr>
        <w:trPr>
          <w:trHeight w:val="256"/>
        </w:trPr>
        <w:tc>
          <w:tcPr>
            <w:tcW w:w="1580" w:type="dxa"/>
            <w:vAlign w:val="bottom"/>
          </w:tcPr>
          <w:p>
            <w:pPr>
              <w:spacing w:after="0"/>
              <w:rPr>
                <w:sz w:val="22"/>
                <w:szCs w:val="22"/>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 general meeting may also be convened by our board of</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directors on the requisition of not less than two of our</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shareholders who hold at least 5% of our voting share</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capital.</w:t>
            </w:r>
          </w:p>
        </w:tc>
      </w:tr>
      <w:tr>
        <w:trPr>
          <w:trHeight w:val="256"/>
        </w:trPr>
        <w:tc>
          <w:tcPr>
            <w:tcW w:w="1580" w:type="dxa"/>
            <w:vAlign w:val="bottom"/>
          </w:tcPr>
          <w:p>
            <w:pPr>
              <w:spacing w:after="0"/>
              <w:rPr>
                <w:sz w:val="22"/>
                <w:szCs w:val="22"/>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General meetings at which special resolutions are</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proposed and passed generally involve proposals to</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 the name of the company, permit the company to</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shareholders’ pre-emptive right, amend the company’s</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articles of association, or carry out other matters where</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either the company’s articles of association or the U.K.</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Companies Act 2006 prescribe that a special resolution is</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required.</w:t>
            </w:r>
          </w:p>
        </w:tc>
      </w:tr>
      <w:tr>
        <w:trPr>
          <w:trHeight w:val="256"/>
        </w:trPr>
        <w:tc>
          <w:tcPr>
            <w:tcW w:w="1580" w:type="dxa"/>
            <w:vAlign w:val="bottom"/>
          </w:tcPr>
          <w:p>
            <w:pPr>
              <w:spacing w:after="0"/>
              <w:rPr>
                <w:sz w:val="22"/>
                <w:szCs w:val="22"/>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Other proposals relating to the ordinary course of the</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company’s business, such as the election of directors,</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would generally be the subject of an ordinary resolution</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and subject to our Articles.</w:t>
            </w: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Notice of General</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Under the U.K. Companies Act 2006, at least 21 clear</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Meetings</w:t>
            </w: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days’ notice must be given for an annual general meeting</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and any resolutions to be proposed at that</w:t>
            </w:r>
          </w:p>
        </w:tc>
      </w:tr>
      <w:tr>
        <w:trPr>
          <w:trHeight w:val="351"/>
        </w:trPr>
        <w:tc>
          <w:tcPr>
            <w:tcW w:w="1580" w:type="dxa"/>
            <w:vAlign w:val="bottom"/>
          </w:tcPr>
          <w:p>
            <w:pPr>
              <w:spacing w:after="0"/>
              <w:rPr>
                <w:sz w:val="24"/>
                <w:szCs w:val="24"/>
                <w:color w:val="auto"/>
              </w:rPr>
            </w:pPr>
          </w:p>
        </w:tc>
        <w:tc>
          <w:tcPr>
            <w:tcW w:w="4880" w:type="dxa"/>
            <w:vAlign w:val="bottom"/>
            <w:gridSpan w:val="2"/>
          </w:tcPr>
          <w:p>
            <w:pPr>
              <w:ind w:left="3840"/>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838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sole remaining director elected by such class, will fill such vacancy.</w:t>
      </w:r>
    </w:p>
    <w:p>
      <w:pPr>
        <w:spacing w:after="0" w:line="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w:t>
      </w:r>
    </w:p>
    <w:p>
      <w:pPr>
        <w:sectPr>
          <w:pgSz w:w="11900" w:h="16838" w:orient="portrait"/>
          <w:cols w:equalWidth="0" w:num="2">
            <w:col w:w="6660" w:space="100"/>
            <w:col w:w="4420"/>
          </w:cols>
          <w:pgMar w:left="240" w:top="459" w:right="47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meeting. At least 14 clear days’ notice is required for any</w:t>
            </w:r>
          </w:p>
        </w:tc>
      </w:tr>
      <w:tr>
        <w:trPr>
          <w:trHeight w:val="217"/>
        </w:trPr>
        <w:tc>
          <w:tcPr>
            <w:tcW w:w="1400" w:type="dxa"/>
            <w:vAlign w:val="bottom"/>
          </w:tcPr>
          <w:p>
            <w:pPr>
              <w:spacing w:after="0"/>
              <w:rPr>
                <w:sz w:val="18"/>
                <w:szCs w:val="18"/>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other general meeting.</w:t>
            </w:r>
          </w:p>
        </w:tc>
      </w:tr>
      <w:tr>
        <w:trPr>
          <w:trHeight w:val="661"/>
        </w:trPr>
        <w:tc>
          <w:tcPr>
            <w:tcW w:w="1400" w:type="dxa"/>
            <w:vAlign w:val="bottom"/>
          </w:tcPr>
          <w:p>
            <w:pPr>
              <w:spacing w:after="0"/>
              <w:rPr>
                <w:sz w:val="24"/>
                <w:szCs w:val="24"/>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In addition, certain matters, such as the removal of</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directors or auditors, require special notice, which is 28</w:t>
            </w:r>
          </w:p>
        </w:tc>
      </w:tr>
      <w:tr>
        <w:trPr>
          <w:trHeight w:val="217"/>
        </w:trPr>
        <w:tc>
          <w:tcPr>
            <w:tcW w:w="1400" w:type="dxa"/>
            <w:vAlign w:val="bottom"/>
          </w:tcPr>
          <w:p>
            <w:pPr>
              <w:spacing w:after="0"/>
              <w:rPr>
                <w:sz w:val="18"/>
                <w:szCs w:val="18"/>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clear days’ notice.</w:t>
            </w: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Quorum</w:t>
            </w: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Our Articles provide that no business shall be transacted</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at any general meeting unless a quorum is present. Two</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qualifying persons present at a meeting and entitled to</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vote on the business to be transacted shall be a quorum,</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unless (1) each is a qualifying person only because he or</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she is authorized under the U.K. Companies Act 2006 to</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act as a representative of a corporation in relation to the</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meeting, and they are representatives of the same</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corporation, or (2) each is a qualifying person only</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because he or she is appointed as proxy of a shareholder</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in relation to the meeting, and they are proxies of the</w:t>
            </w:r>
          </w:p>
        </w:tc>
      </w:tr>
      <w:tr>
        <w:trPr>
          <w:trHeight w:val="217"/>
        </w:trPr>
        <w:tc>
          <w:tcPr>
            <w:tcW w:w="1400" w:type="dxa"/>
            <w:vAlign w:val="bottom"/>
          </w:tcPr>
          <w:p>
            <w:pPr>
              <w:spacing w:after="0"/>
              <w:rPr>
                <w:sz w:val="18"/>
                <w:szCs w:val="18"/>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same shareholder.</w:t>
            </w:r>
          </w:p>
        </w:tc>
      </w:tr>
      <w:tr>
        <w:trPr>
          <w:trHeight w:val="256"/>
        </w:trPr>
        <w:tc>
          <w:tcPr>
            <w:tcW w:w="1400" w:type="dxa"/>
            <w:vAlign w:val="bottom"/>
          </w:tcPr>
          <w:p>
            <w:pPr>
              <w:spacing w:after="0"/>
              <w:rPr>
                <w:sz w:val="22"/>
                <w:szCs w:val="22"/>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A “qualifying person” means (1) a person who is one of</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our shareholders, (2) a person authorized under the U.K.</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Companies Act 2006 to act as a representative of the</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corporation in relation to the meeting, or (3) a person</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appointed as proxy of a shareholder in relation to the</w:t>
            </w:r>
          </w:p>
        </w:tc>
      </w:tr>
      <w:tr>
        <w:trPr>
          <w:trHeight w:val="217"/>
        </w:trPr>
        <w:tc>
          <w:tcPr>
            <w:tcW w:w="1400" w:type="dxa"/>
            <w:vAlign w:val="bottom"/>
          </w:tcPr>
          <w:p>
            <w:pPr>
              <w:spacing w:after="0"/>
              <w:rPr>
                <w:sz w:val="18"/>
                <w:szCs w:val="18"/>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meeting.</w:t>
            </w:r>
          </w:p>
        </w:tc>
      </w:tr>
      <w:tr>
        <w:trPr>
          <w:trHeight w:val="256"/>
        </w:trPr>
        <w:tc>
          <w:tcPr>
            <w:tcW w:w="1400" w:type="dxa"/>
            <w:vAlign w:val="bottom"/>
          </w:tcPr>
          <w:p>
            <w:pPr>
              <w:spacing w:after="0"/>
              <w:rPr>
                <w:sz w:val="20"/>
                <w:szCs w:val="20"/>
                <w:color w:val="auto"/>
              </w:rPr>
            </w:pPr>
            <w:r>
              <w:rPr>
                <w:rFonts w:ascii="Arial" w:cs="Arial" w:eastAsia="Arial" w:hAnsi="Arial"/>
                <w:sz w:val="18"/>
                <w:szCs w:val="18"/>
                <w:color w:val="auto"/>
              </w:rPr>
              <w:t>Proxy</w:t>
            </w: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Under the U.K. Companies Act 2006, at any meeting of</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shareholders, a shareholder may designate another</w:t>
            </w:r>
          </w:p>
        </w:tc>
      </w:tr>
      <w:tr>
        <w:trPr>
          <w:trHeight w:val="203"/>
        </w:trPr>
        <w:tc>
          <w:tcPr>
            <w:tcW w:w="1400" w:type="dxa"/>
            <w:vAlign w:val="bottom"/>
          </w:tcPr>
          <w:p>
            <w:pPr>
              <w:spacing w:after="0"/>
              <w:rPr>
                <w:sz w:val="17"/>
                <w:szCs w:val="17"/>
                <w:color w:val="auto"/>
              </w:rPr>
            </w:pP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person to attend, speak and vote at the meeting on their</w:t>
            </w:r>
          </w:p>
        </w:tc>
      </w:tr>
      <w:tr>
        <w:trPr>
          <w:trHeight w:val="217"/>
        </w:trPr>
        <w:tc>
          <w:tcPr>
            <w:tcW w:w="1400" w:type="dxa"/>
            <w:vAlign w:val="bottom"/>
          </w:tcPr>
          <w:p>
            <w:pPr>
              <w:spacing w:after="0"/>
              <w:rPr>
                <w:sz w:val="18"/>
                <w:szCs w:val="18"/>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behalf by proxy.</w:t>
            </w:r>
          </w:p>
        </w:tc>
      </w:tr>
      <w:tr>
        <w:trPr>
          <w:trHeight w:val="863"/>
        </w:trPr>
        <w:tc>
          <w:tcPr>
            <w:tcW w:w="1400" w:type="dxa"/>
            <w:vAlign w:val="bottom"/>
          </w:tcPr>
          <w:p>
            <w:pPr>
              <w:spacing w:after="0"/>
              <w:rPr>
                <w:sz w:val="20"/>
                <w:szCs w:val="20"/>
                <w:color w:val="auto"/>
              </w:rPr>
            </w:pPr>
            <w:r>
              <w:rPr>
                <w:rFonts w:ascii="Arial" w:cs="Arial" w:eastAsia="Arial" w:hAnsi="Arial"/>
                <w:sz w:val="18"/>
                <w:szCs w:val="18"/>
                <w:color w:val="auto"/>
              </w:rPr>
              <w:t>Issue of New</w:t>
            </w: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rPr>
              <w:t>Shares</w:t>
            </w:r>
          </w:p>
        </w:tc>
        <w:tc>
          <w:tcPr>
            <w:tcW w:w="5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company must not exercise any power to allot shares or</w:t>
            </w:r>
          </w:p>
        </w:tc>
      </w:tr>
      <w:tr>
        <w:trPr>
          <w:trHeight w:val="217"/>
        </w:trPr>
        <w:tc>
          <w:tcPr>
            <w:tcW w:w="1400" w:type="dxa"/>
            <w:vAlign w:val="bottom"/>
          </w:tcPr>
          <w:p>
            <w:pPr>
              <w:spacing w:after="0"/>
              <w:rPr>
                <w:sz w:val="18"/>
                <w:szCs w:val="18"/>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grant rights to subscribe for, or to convert any security</w:t>
            </w:r>
          </w:p>
        </w:tc>
      </w:tr>
      <w:tr>
        <w:trPr>
          <w:trHeight w:val="351"/>
        </w:trPr>
        <w:tc>
          <w:tcPr>
            <w:tcW w:w="1400" w:type="dxa"/>
            <w:vAlign w:val="bottom"/>
          </w:tcPr>
          <w:p>
            <w:pPr>
              <w:spacing w:after="0"/>
              <w:rPr>
                <w:sz w:val="24"/>
                <w:szCs w:val="24"/>
                <w:color w:val="auto"/>
              </w:rPr>
            </w:pPr>
          </w:p>
        </w:tc>
        <w:tc>
          <w:tcPr>
            <w:tcW w:w="5060" w:type="dxa"/>
            <w:vAlign w:val="bottom"/>
            <w:gridSpan w:val="2"/>
          </w:tcPr>
          <w:p>
            <w:pPr>
              <w:ind w:left="402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838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w:t>
      </w:r>
    </w:p>
    <w:p>
      <w:pPr>
        <w:sectPr>
          <w:pgSz w:w="11900" w:h="16838" w:orient="portrait"/>
          <w:cols w:equalWidth="0" w:num="2">
            <w:col w:w="6660" w:space="100"/>
            <w:col w:w="4440"/>
          </w:cols>
          <w:pgMar w:left="240" w:top="459" w:right="4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into, shares unless they are authorized to do so by the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company’s articles of association or by an ordinary</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resolution of the shareholders. Any authorization given</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must state the maximum amount of shares that may be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allotted under it and specify the date on which it will</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expire, which must be not more than five years from the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date the authorization was given. The authority can be</w:t>
            </w:r>
          </w:p>
        </w:tc>
      </w:tr>
      <w:tr>
        <w:trPr>
          <w:trHeight w:val="217"/>
        </w:trPr>
        <w:tc>
          <w:tcPr>
            <w:tcW w:w="1540" w:type="dxa"/>
            <w:vAlign w:val="bottom"/>
          </w:tcPr>
          <w:p>
            <w:pPr>
              <w:spacing w:after="0"/>
              <w:rPr>
                <w:sz w:val="18"/>
                <w:szCs w:val="18"/>
                <w:color w:val="auto"/>
              </w:rPr>
            </w:pP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renewed by a further resolution of the shareholders.</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Pre-emptive</w:t>
            </w: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Under the U.K. Companies Act 2006, “equity securities,”</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Rights</w:t>
            </w: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participate only up to a specified amount in a distribution</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allotted for cash, must be offered first to the existing equity</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shareholders in the company in proportion to the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has been passed by shareholders in a general meeting or</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the articles of association provide otherwise, in each case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in accordance with the provisions of the U.K. Companies</w:t>
            </w:r>
          </w:p>
        </w:tc>
      </w:tr>
      <w:tr>
        <w:trPr>
          <w:trHeight w:val="217"/>
        </w:trPr>
        <w:tc>
          <w:tcPr>
            <w:tcW w:w="1540" w:type="dxa"/>
            <w:vAlign w:val="bottom"/>
          </w:tcPr>
          <w:p>
            <w:pPr>
              <w:spacing w:after="0"/>
              <w:rPr>
                <w:sz w:val="18"/>
                <w:szCs w:val="18"/>
                <w:color w:val="auto"/>
              </w:rPr>
            </w:pP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Act 2006.</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Authority to Allot</w:t>
            </w: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company must not allot shares or grant rights to subscribe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for or to convert any security into shares unless those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shares are alloted, or those rights to subscribe or convert</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any security into shares are granted (as applicable)</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pursuant to an employee share scheme, an ordinary</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resolution to the contrary has been passed by</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shareholders in a general meeting, or the articles of</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association provide otherwise, in each case, in</w:t>
            </w:r>
          </w:p>
        </w:tc>
      </w:tr>
      <w:tr>
        <w:trPr>
          <w:trHeight w:val="203"/>
        </w:trPr>
        <w:tc>
          <w:tcPr>
            <w:tcW w:w="1540" w:type="dxa"/>
            <w:vAlign w:val="bottom"/>
          </w:tcPr>
          <w:p>
            <w:pPr>
              <w:spacing w:after="0"/>
              <w:rPr>
                <w:sz w:val="17"/>
                <w:szCs w:val="17"/>
                <w:color w:val="auto"/>
              </w:rPr>
            </w:pP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accordance with the provisions of the U.K. Companies Act</w:t>
            </w:r>
          </w:p>
        </w:tc>
      </w:tr>
      <w:tr>
        <w:trPr>
          <w:trHeight w:val="217"/>
        </w:trPr>
        <w:tc>
          <w:tcPr>
            <w:tcW w:w="1540" w:type="dxa"/>
            <w:vAlign w:val="bottom"/>
          </w:tcPr>
          <w:p>
            <w:pPr>
              <w:spacing w:after="0"/>
              <w:rPr>
                <w:sz w:val="18"/>
                <w:szCs w:val="18"/>
                <w:color w:val="auto"/>
              </w:rPr>
            </w:pP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2006.</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Liability of</w:t>
            </w: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Under the U.K. Companies Act 2006, any provision</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Directors and</w:t>
            </w: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(whether contained in a company’s articles of association</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Officers</w:t>
            </w:r>
          </w:p>
        </w:tc>
        <w:tc>
          <w:tcPr>
            <w:tcW w:w="49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or any contract or otherwise) that purports to exempt a</w:t>
            </w:r>
          </w:p>
        </w:tc>
      </w:tr>
      <w:tr>
        <w:trPr>
          <w:trHeight w:val="217"/>
        </w:trPr>
        <w:tc>
          <w:tcPr>
            <w:tcW w:w="1540" w:type="dxa"/>
            <w:vAlign w:val="bottom"/>
          </w:tcPr>
          <w:p>
            <w:pPr>
              <w:spacing w:after="0"/>
              <w:rPr>
                <w:sz w:val="18"/>
                <w:szCs w:val="18"/>
                <w:color w:val="auto"/>
              </w:rPr>
            </w:pP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director of a company (to any</w:t>
            </w:r>
          </w:p>
        </w:tc>
      </w:tr>
      <w:tr>
        <w:trPr>
          <w:trHeight w:val="351"/>
        </w:trPr>
        <w:tc>
          <w:tcPr>
            <w:tcW w:w="1540" w:type="dxa"/>
            <w:vAlign w:val="bottom"/>
          </w:tcPr>
          <w:p>
            <w:pPr>
              <w:spacing w:after="0"/>
              <w:rPr>
                <w:sz w:val="24"/>
                <w:szCs w:val="24"/>
                <w:color w:val="auto"/>
              </w:rPr>
            </w:pPr>
          </w:p>
        </w:tc>
        <w:tc>
          <w:tcPr>
            <w:tcW w:w="4920" w:type="dxa"/>
            <w:vAlign w:val="bottom"/>
            <w:gridSpan w:val="2"/>
          </w:tcPr>
          <w:p>
            <w:pPr>
              <w:ind w:left="3880"/>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838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w:t>
      </w:r>
    </w:p>
    <w:p>
      <w:pPr>
        <w:sectPr>
          <w:pgSz w:w="11900" w:h="16838" w:orient="portrait"/>
          <w:cols w:equalWidth="0" w:num="2">
            <w:col w:w="6660" w:space="100"/>
            <w:col w:w="4460"/>
          </w:cols>
          <w:pgMar w:left="240" w:top="459" w:right="4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19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17780</wp:posOffset>
            </wp:positionV>
            <wp:extent cx="29673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jc w:val="both"/>
        <w:ind w:left="1980"/>
        <w:spacing w:after="0"/>
        <w:rPr>
          <w:sz w:val="20"/>
          <w:szCs w:val="20"/>
          <w:color w:val="auto"/>
        </w:rPr>
      </w:pPr>
      <w:r>
        <w:rPr>
          <w:rFonts w:ascii="Arial" w:cs="Arial" w:eastAsia="Arial" w:hAnsi="Arial"/>
          <w:sz w:val="18"/>
          <w:szCs w:val="18"/>
          <w:color w:val="auto"/>
        </w:rPr>
        <w:t>extent) from any liability that would otherwise attach to him in connection with any negligence, default, breach of duty or breach of trust in relation to the company is void.</w:t>
      </w:r>
    </w:p>
    <w:p>
      <w:pPr>
        <w:spacing w:after="0" w:line="54" w:lineRule="exact"/>
        <w:rPr>
          <w:sz w:val="20"/>
          <w:szCs w:val="20"/>
          <w:color w:val="auto"/>
        </w:rPr>
      </w:pPr>
    </w:p>
    <w:p>
      <w:pPr>
        <w:ind w:left="1980"/>
        <w:spacing w:after="0" w:line="236" w:lineRule="auto"/>
        <w:rPr>
          <w:sz w:val="20"/>
          <w:szCs w:val="20"/>
          <w:color w:val="auto"/>
        </w:rPr>
      </w:pPr>
      <w:r>
        <w:rPr>
          <w:rFonts w:ascii="Arial" w:cs="Arial" w:eastAsia="Arial" w:hAnsi="Arial"/>
          <w:sz w:val="18"/>
          <w:szCs w:val="18"/>
          <w:color w:val="auto"/>
        </w:rPr>
        <w:t>Any provision by which we directly or indirectly provide an indemnity (to any extent) for a director of the company or of an “associated company” (i.e., a company that is a parent, subsidiary or sister company of us) against any liability attaching to him or her in connection with any negligence, default, breach of duty or breach of trust in relation to the company of which he or she is a director is void except as permitted by the U.K. Companies Act 2006, which provides exceptions for us to:</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384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ind w:left="6" w:right="60"/>
        <w:spacing w:after="0"/>
        <w:rPr>
          <w:sz w:val="20"/>
          <w:szCs w:val="20"/>
          <w:color w:val="auto"/>
        </w:rPr>
      </w:pPr>
      <w:r>
        <w:rPr>
          <w:rFonts w:ascii="Arial" w:cs="Arial" w:eastAsia="Arial" w:hAnsi="Arial"/>
          <w:sz w:val="18"/>
          <w:szCs w:val="18"/>
          <w:color w:val="auto"/>
        </w:rPr>
        <w:t>damages arising from a breach of fiduciary duty as a director. However, no provision can limit the liability of a director for:</w:t>
      </w:r>
    </w:p>
    <w:p>
      <w:pPr>
        <w:spacing w:after="0" w:line="54" w:lineRule="exact"/>
        <w:rPr>
          <w:sz w:val="20"/>
          <w:szCs w:val="20"/>
          <w:color w:val="auto"/>
        </w:rPr>
      </w:pPr>
    </w:p>
    <w:p>
      <w:pPr>
        <w:ind w:left="326" w:right="320" w:hanging="326"/>
        <w:spacing w:after="0" w:line="246" w:lineRule="auto"/>
        <w:tabs>
          <w:tab w:leader="none" w:pos="328" w:val="left"/>
        </w:tabs>
        <w:numPr>
          <w:ilvl w:val="0"/>
          <w:numId w:val="32"/>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1" w:lineRule="exact"/>
        <w:rPr>
          <w:rFonts w:ascii="MS PGothic" w:cs="MS PGothic" w:eastAsia="MS PGothic" w:hAnsi="MS PGothic"/>
          <w:sz w:val="13"/>
          <w:szCs w:val="13"/>
          <w:color w:val="auto"/>
        </w:rPr>
      </w:pPr>
    </w:p>
    <w:p>
      <w:pPr>
        <w:ind w:left="326" w:hanging="326"/>
        <w:spacing w:after="0" w:line="246" w:lineRule="auto"/>
        <w:tabs>
          <w:tab w:leader="none" w:pos="328" w:val="left"/>
        </w:tabs>
        <w:numPr>
          <w:ilvl w:val="0"/>
          <w:numId w:val="32"/>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 w:lineRule="exact"/>
        <w:rPr>
          <w:rFonts w:ascii="MS PGothic" w:cs="MS PGothic" w:eastAsia="MS PGothic" w:hAnsi="MS PGothic"/>
          <w:sz w:val="13"/>
          <w:szCs w:val="13"/>
          <w:color w:val="auto"/>
        </w:rPr>
      </w:pPr>
    </w:p>
    <w:p>
      <w:pPr>
        <w:ind w:left="326" w:right="320" w:hanging="326"/>
        <w:spacing w:after="0" w:line="273" w:lineRule="auto"/>
        <w:tabs>
          <w:tab w:leader="none" w:pos="328"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intentional or negligent payment of unlawful dividends or stock purchases or redemptions; or</w:t>
      </w:r>
    </w:p>
    <w:p>
      <w:pPr>
        <w:ind w:left="326" w:right="160" w:hanging="326"/>
        <w:spacing w:after="0" w:line="246" w:lineRule="auto"/>
        <w:tabs>
          <w:tab w:leader="none" w:pos="328" w:val="left"/>
        </w:tabs>
        <w:numPr>
          <w:ilvl w:val="0"/>
          <w:numId w:val="32"/>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pacing w:after="0" w:line="270" w:lineRule="exact"/>
        <w:rPr>
          <w:sz w:val="20"/>
          <w:szCs w:val="20"/>
          <w:color w:val="auto"/>
        </w:rPr>
      </w:pPr>
    </w:p>
    <w:p>
      <w:pPr>
        <w:sectPr>
          <w:pgSz w:w="11900" w:h="16838" w:orient="portrait"/>
          <w:cols w:equalWidth="0" w:num="2">
            <w:col w:w="6640" w:space="114"/>
            <w:col w:w="4466"/>
          </w:cols>
          <w:pgMar w:left="240" w:top="459" w:right="439" w:bottom="1440" w:gutter="0" w:footer="0" w:header="0"/>
          <w:type w:val="continuous"/>
        </w:sectPr>
      </w:pPr>
    </w:p>
    <w:p>
      <w:pPr>
        <w:spacing w:after="0" w:line="7" w:lineRule="exact"/>
        <w:rPr>
          <w:sz w:val="20"/>
          <w:szCs w:val="20"/>
          <w:color w:val="auto"/>
        </w:rPr>
      </w:pPr>
    </w:p>
    <w:p>
      <w:pPr>
        <w:ind w:left="2300" w:right="4640" w:hanging="327"/>
        <w:spacing w:after="0" w:line="237" w:lineRule="auto"/>
        <w:tabs>
          <w:tab w:leader="none" w:pos="2301" w:val="left"/>
        </w:tabs>
        <w:numPr>
          <w:ilvl w:val="0"/>
          <w:numId w:val="33"/>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16" w:lineRule="exact"/>
        <w:rPr>
          <w:rFonts w:ascii="MS PGothic" w:cs="MS PGothic" w:eastAsia="MS PGothic" w:hAnsi="MS PGothic"/>
          <w:sz w:val="13"/>
          <w:szCs w:val="13"/>
          <w:color w:val="auto"/>
        </w:rPr>
      </w:pPr>
    </w:p>
    <w:p>
      <w:pPr>
        <w:ind w:left="2300" w:right="4600" w:hanging="327"/>
        <w:spacing w:after="0" w:line="236" w:lineRule="auto"/>
        <w:tabs>
          <w:tab w:leader="none" w:pos="2301" w:val="left"/>
        </w:tabs>
        <w:numPr>
          <w:ilvl w:val="0"/>
          <w:numId w:val="33"/>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5" w:lineRule="exact"/>
        <w:rPr>
          <w:rFonts w:ascii="MS PGothic" w:cs="MS PGothic" w:eastAsia="MS PGothic" w:hAnsi="MS PGothic"/>
          <w:sz w:val="13"/>
          <w:szCs w:val="13"/>
          <w:color w:val="auto"/>
        </w:rPr>
      </w:pPr>
    </w:p>
    <w:p>
      <w:pPr>
        <w:ind w:left="2300" w:right="5040" w:hanging="327"/>
        <w:spacing w:after="0"/>
        <w:tabs>
          <w:tab w:leader="none" w:pos="2301" w:val="left"/>
        </w:tabs>
        <w:numPr>
          <w:ilvl w:val="0"/>
          <w:numId w:val="33"/>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 liability incurred in connection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919"/>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17780</wp:posOffset>
            </wp:positionV>
            <wp:extent cx="58743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the company’s activities as trustee of an</w:t>
      </w:r>
    </w:p>
    <w:p>
      <w:pPr>
        <w:ind w:left="2300"/>
        <w:spacing w:after="0" w:line="234" w:lineRule="auto"/>
        <w:rPr>
          <w:sz w:val="20"/>
          <w:szCs w:val="20"/>
          <w:color w:val="auto"/>
        </w:rPr>
      </w:pPr>
      <w:r>
        <w:rPr>
          <w:rFonts w:ascii="Arial" w:cs="Arial" w:eastAsia="Arial" w:hAnsi="Arial"/>
          <w:sz w:val="18"/>
          <w:szCs w:val="18"/>
          <w:color w:val="auto"/>
        </w:rPr>
        <w:t>occupational pension plan. Such indemnity must not</w:t>
      </w:r>
    </w:p>
    <w:p>
      <w:pPr>
        <w:ind w:left="2300"/>
        <w:spacing w:after="0" w:line="235" w:lineRule="auto"/>
        <w:rPr>
          <w:sz w:val="20"/>
          <w:szCs w:val="20"/>
          <w:color w:val="auto"/>
        </w:rPr>
      </w:pPr>
      <w:r>
        <w:rPr>
          <w:rFonts w:ascii="Arial" w:cs="Arial" w:eastAsia="Arial" w:hAnsi="Arial"/>
          <w:sz w:val="18"/>
          <w:szCs w:val="18"/>
          <w:color w:val="auto"/>
        </w:rPr>
        <w:t>cover a fine imposed in criminal proceedings, or sum</w:t>
      </w:r>
    </w:p>
    <w:p>
      <w:pPr>
        <w:ind w:left="2300"/>
        <w:spacing w:after="0" w:line="235" w:lineRule="auto"/>
        <w:rPr>
          <w:sz w:val="20"/>
          <w:szCs w:val="20"/>
          <w:color w:val="auto"/>
        </w:rPr>
      </w:pPr>
      <w:r>
        <w:rPr>
          <w:rFonts w:ascii="Arial" w:cs="Arial" w:eastAsia="Arial" w:hAnsi="Arial"/>
          <w:sz w:val="18"/>
          <w:szCs w:val="18"/>
          <w:color w:val="auto"/>
        </w:rPr>
        <w:t>payable to a regulatory authority by way of a penalty</w:t>
      </w:r>
    </w:p>
    <w:p>
      <w:pPr>
        <w:ind w:left="2300"/>
        <w:spacing w:after="0" w:line="235" w:lineRule="auto"/>
        <w:rPr>
          <w:sz w:val="20"/>
          <w:szCs w:val="20"/>
          <w:color w:val="auto"/>
        </w:rPr>
      </w:pPr>
      <w:r>
        <w:rPr>
          <w:rFonts w:ascii="Arial" w:cs="Arial" w:eastAsia="Arial" w:hAnsi="Arial"/>
          <w:sz w:val="18"/>
          <w:szCs w:val="18"/>
          <w:color w:val="auto"/>
        </w:rPr>
        <w:t>in respect of non-compliance with any requirement of</w:t>
      </w:r>
    </w:p>
    <w:p>
      <w:pPr>
        <w:ind w:left="2300"/>
        <w:spacing w:after="0" w:line="235" w:lineRule="auto"/>
        <w:rPr>
          <w:sz w:val="20"/>
          <w:szCs w:val="20"/>
          <w:color w:val="auto"/>
        </w:rPr>
      </w:pPr>
      <w:r>
        <w:rPr>
          <w:rFonts w:ascii="Arial" w:cs="Arial" w:eastAsia="Arial" w:hAnsi="Arial"/>
          <w:sz w:val="18"/>
          <w:szCs w:val="18"/>
          <w:color w:val="auto"/>
        </w:rPr>
        <w:t>a regulatory nature (however arising), or any liability</w:t>
      </w:r>
    </w:p>
    <w:p>
      <w:pPr>
        <w:ind w:left="2300"/>
        <w:spacing w:after="0" w:line="235" w:lineRule="auto"/>
        <w:rPr>
          <w:sz w:val="20"/>
          <w:szCs w:val="20"/>
          <w:color w:val="auto"/>
        </w:rPr>
      </w:pPr>
      <w:r>
        <w:rPr>
          <w:rFonts w:ascii="Arial" w:cs="Arial" w:eastAsia="Arial" w:hAnsi="Arial"/>
          <w:sz w:val="18"/>
          <w:szCs w:val="18"/>
          <w:color w:val="auto"/>
        </w:rPr>
        <w:t>incurred by the director in defending criminal</w:t>
      </w:r>
    </w:p>
    <w:p>
      <w:pPr>
        <w:ind w:left="2300"/>
        <w:spacing w:after="0"/>
        <w:rPr>
          <w:sz w:val="20"/>
          <w:szCs w:val="20"/>
          <w:color w:val="auto"/>
        </w:rPr>
      </w:pPr>
      <w:r>
        <w:rPr>
          <w:rFonts w:ascii="Arial" w:cs="Arial" w:eastAsia="Arial" w:hAnsi="Arial"/>
          <w:sz w:val="18"/>
          <w:szCs w:val="18"/>
          <w:color w:val="auto"/>
        </w:rPr>
        <w:t>proceedings in which he or she is convicted.</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Our Articles provide that it may indemnify each of our</w:t>
      </w:r>
    </w:p>
    <w:p>
      <w:pPr>
        <w:ind w:left="1980"/>
        <w:spacing w:after="0"/>
        <w:rPr>
          <w:sz w:val="20"/>
          <w:szCs w:val="20"/>
          <w:color w:val="auto"/>
        </w:rPr>
      </w:pPr>
      <w:r>
        <w:rPr>
          <w:rFonts w:ascii="Arial" w:cs="Arial" w:eastAsia="Arial" w:hAnsi="Arial"/>
          <w:sz w:val="18"/>
          <w:szCs w:val="18"/>
          <w:color w:val="auto"/>
        </w:rPr>
        <w:t>directors against:</w:t>
      </w:r>
    </w:p>
    <w:p>
      <w:pPr>
        <w:spacing w:after="0" w:line="212" w:lineRule="exact"/>
        <w:rPr>
          <w:sz w:val="20"/>
          <w:szCs w:val="20"/>
          <w:color w:val="auto"/>
        </w:rPr>
      </w:pPr>
    </w:p>
    <w:p>
      <w:pPr>
        <w:ind w:left="2300" w:right="3619" w:hanging="327"/>
        <w:spacing w:after="0"/>
        <w:tabs>
          <w:tab w:leader="none" w:pos="2301" w:val="left"/>
        </w:tabs>
        <w:numPr>
          <w:ilvl w:val="0"/>
          <w:numId w:val="34"/>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any negligence, default, breach of duty or breach of trust in relation to us or an associated company;</w:t>
      </w:r>
    </w:p>
    <w:p>
      <w:pPr>
        <w:spacing w:after="0" w:line="27" w:lineRule="exact"/>
        <w:rPr>
          <w:rFonts w:ascii="MS PGothic" w:cs="MS PGothic" w:eastAsia="MS PGothic" w:hAnsi="MS PGothic"/>
          <w:sz w:val="13"/>
          <w:szCs w:val="13"/>
          <w:color w:val="auto"/>
        </w:rPr>
      </w:pPr>
    </w:p>
    <w:p>
      <w:pPr>
        <w:ind w:left="2300" w:right="3619" w:hanging="327"/>
        <w:spacing w:after="0" w:line="239" w:lineRule="auto"/>
        <w:tabs>
          <w:tab w:leader="none" w:pos="2301" w:val="left"/>
        </w:tabs>
        <w:numPr>
          <w:ilvl w:val="0"/>
          <w:numId w:val="34"/>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the activities of us or an associated company in the capacity of trustee of an occupational pension scheme; and</w:t>
      </w:r>
    </w:p>
    <w:p>
      <w:pPr>
        <w:spacing w:after="0" w:line="26" w:lineRule="exact"/>
        <w:rPr>
          <w:rFonts w:ascii="MS PGothic" w:cs="MS PGothic" w:eastAsia="MS PGothic" w:hAnsi="MS PGothic"/>
          <w:sz w:val="13"/>
          <w:szCs w:val="13"/>
          <w:color w:val="auto"/>
        </w:rPr>
      </w:pPr>
    </w:p>
    <w:p>
      <w:pPr>
        <w:ind w:left="2300" w:right="3619" w:hanging="327"/>
        <w:spacing w:after="0" w:line="237" w:lineRule="auto"/>
        <w:tabs>
          <w:tab w:leader="none" w:pos="2301" w:val="left"/>
        </w:tabs>
        <w:numPr>
          <w:ilvl w:val="0"/>
          <w:numId w:val="34"/>
        </w:numPr>
        <w:rPr>
          <w:rFonts w:ascii="MS PGothic" w:cs="MS PGothic" w:eastAsia="MS PGothic" w:hAnsi="MS PGothic"/>
          <w:sz w:val="13"/>
          <w:szCs w:val="13"/>
          <w:color w:val="auto"/>
        </w:rPr>
      </w:pPr>
      <w:r>
        <w:rPr>
          <w:rFonts w:ascii="Arial" w:cs="Arial" w:eastAsia="Arial" w:hAnsi="Arial"/>
          <w:sz w:val="18"/>
          <w:szCs w:val="18"/>
          <w:color w:val="auto"/>
        </w:rPr>
        <w:t>any other liability incurred by that director in the actual or purported execution or discharge of his or her duties, the exercise or purported exercise of his or her powers or otherwise in relation to his or her duties or powers as an officer of the Company or an associated company.</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U.K. Companies Act 2006 also provides that we may</w:t>
      </w:r>
    </w:p>
    <w:p>
      <w:pPr>
        <w:ind w:left="1980"/>
        <w:spacing w:after="0" w:line="234" w:lineRule="auto"/>
        <w:rPr>
          <w:sz w:val="20"/>
          <w:szCs w:val="20"/>
          <w:color w:val="auto"/>
        </w:rPr>
      </w:pPr>
      <w:r>
        <w:rPr>
          <w:rFonts w:ascii="Arial" w:cs="Arial" w:eastAsia="Arial" w:hAnsi="Arial"/>
          <w:sz w:val="18"/>
          <w:szCs w:val="18"/>
          <w:color w:val="auto"/>
        </w:rPr>
        <w:t>lend each of our directors funds to meet expenditure</w:t>
      </w:r>
    </w:p>
    <w:p>
      <w:pPr>
        <w:ind w:left="1980"/>
        <w:spacing w:after="0" w:line="235" w:lineRule="auto"/>
        <w:rPr>
          <w:sz w:val="20"/>
          <w:szCs w:val="20"/>
          <w:color w:val="auto"/>
        </w:rPr>
      </w:pPr>
      <w:r>
        <w:rPr>
          <w:rFonts w:ascii="Arial" w:cs="Arial" w:eastAsia="Arial" w:hAnsi="Arial"/>
          <w:sz w:val="18"/>
          <w:szCs w:val="18"/>
          <w:color w:val="auto"/>
        </w:rPr>
        <w:t>incurred by him or her in defending any criminal or civil</w:t>
      </w:r>
    </w:p>
    <w:p>
      <w:pPr>
        <w:ind w:left="1980"/>
        <w:spacing w:after="0" w:line="235" w:lineRule="auto"/>
        <w:rPr>
          <w:sz w:val="20"/>
          <w:szCs w:val="20"/>
          <w:color w:val="auto"/>
        </w:rPr>
      </w:pPr>
      <w:r>
        <w:rPr>
          <w:rFonts w:ascii="Arial" w:cs="Arial" w:eastAsia="Arial" w:hAnsi="Arial"/>
          <w:sz w:val="18"/>
          <w:szCs w:val="18"/>
          <w:color w:val="auto"/>
        </w:rPr>
        <w:t>proceedings in connection with any alleged negligence,</w:t>
      </w:r>
    </w:p>
    <w:p>
      <w:pPr>
        <w:ind w:left="1980"/>
        <w:spacing w:after="0" w:line="235" w:lineRule="auto"/>
        <w:rPr>
          <w:sz w:val="20"/>
          <w:szCs w:val="20"/>
          <w:color w:val="auto"/>
        </w:rPr>
      </w:pPr>
      <w:r>
        <w:rPr>
          <w:rFonts w:ascii="Arial" w:cs="Arial" w:eastAsia="Arial" w:hAnsi="Arial"/>
          <w:sz w:val="18"/>
          <w:szCs w:val="18"/>
          <w:color w:val="auto"/>
        </w:rPr>
        <w:t>default, breach of duty or breach of trust by him or her in</w:t>
      </w:r>
    </w:p>
    <w:p>
      <w:pPr>
        <w:ind w:left="1980"/>
        <w:spacing w:after="0" w:line="235" w:lineRule="auto"/>
        <w:rPr>
          <w:sz w:val="20"/>
          <w:szCs w:val="20"/>
          <w:color w:val="auto"/>
        </w:rPr>
      </w:pPr>
      <w:r>
        <w:rPr>
          <w:rFonts w:ascii="Arial" w:cs="Arial" w:eastAsia="Arial" w:hAnsi="Arial"/>
          <w:sz w:val="18"/>
          <w:szCs w:val="18"/>
          <w:color w:val="auto"/>
        </w:rPr>
        <w:t>relation to us or an associated company, or in connection</w:t>
      </w:r>
    </w:p>
    <w:p>
      <w:pPr>
        <w:ind w:left="1980"/>
        <w:spacing w:after="0" w:line="235" w:lineRule="auto"/>
        <w:rPr>
          <w:sz w:val="20"/>
          <w:szCs w:val="20"/>
          <w:color w:val="auto"/>
        </w:rPr>
      </w:pPr>
      <w:r>
        <w:rPr>
          <w:rFonts w:ascii="Arial" w:cs="Arial" w:eastAsia="Arial" w:hAnsi="Arial"/>
          <w:sz w:val="18"/>
          <w:szCs w:val="18"/>
          <w:color w:val="auto"/>
        </w:rPr>
        <w:t>with an application for certain specified relief, subject to</w:t>
      </w:r>
    </w:p>
    <w:p>
      <w:pPr>
        <w:ind w:left="1980"/>
        <w:spacing w:after="0" w:line="235" w:lineRule="auto"/>
        <w:rPr>
          <w:sz w:val="20"/>
          <w:szCs w:val="20"/>
          <w:color w:val="auto"/>
        </w:rPr>
      </w:pPr>
      <w:r>
        <w:rPr>
          <w:rFonts w:ascii="Arial" w:cs="Arial" w:eastAsia="Arial" w:hAnsi="Arial"/>
          <w:sz w:val="18"/>
          <w:szCs w:val="18"/>
          <w:color w:val="auto"/>
        </w:rPr>
        <w:t>the requirement that the loan must be on terms that it is to</w:t>
      </w:r>
    </w:p>
    <w:p>
      <w:pPr>
        <w:ind w:left="1980"/>
        <w:spacing w:after="0" w:line="235" w:lineRule="auto"/>
        <w:rPr>
          <w:sz w:val="20"/>
          <w:szCs w:val="20"/>
          <w:color w:val="auto"/>
        </w:rPr>
      </w:pPr>
      <w:r>
        <w:rPr>
          <w:rFonts w:ascii="Arial" w:cs="Arial" w:eastAsia="Arial" w:hAnsi="Arial"/>
          <w:sz w:val="18"/>
          <w:szCs w:val="18"/>
          <w:color w:val="auto"/>
        </w:rPr>
        <w:t>be repaid if the defense or the application for relief is</w:t>
      </w:r>
    </w:p>
    <w:p>
      <w:pPr>
        <w:ind w:left="1980"/>
        <w:spacing w:after="0"/>
        <w:rPr>
          <w:sz w:val="20"/>
          <w:szCs w:val="20"/>
          <w:color w:val="auto"/>
        </w:rPr>
      </w:pPr>
      <w:r>
        <w:rPr>
          <w:rFonts w:ascii="Arial" w:cs="Arial" w:eastAsia="Arial" w:hAnsi="Arial"/>
          <w:sz w:val="18"/>
          <w:szCs w:val="18"/>
          <w:color w:val="auto"/>
        </w:rPr>
        <w:t>unsuccessful.</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580" w:type="dxa"/>
            <w:vAlign w:val="bottom"/>
          </w:tcPr>
          <w:p>
            <w:pPr>
              <w:spacing w:after="0"/>
              <w:rPr>
                <w:sz w:val="20"/>
                <w:szCs w:val="20"/>
                <w:color w:val="auto"/>
              </w:rPr>
            </w:pPr>
            <w:r>
              <w:rPr>
                <w:rFonts w:ascii="Arial" w:cs="Arial" w:eastAsia="Arial" w:hAnsi="Arial"/>
                <w:sz w:val="18"/>
                <w:szCs w:val="18"/>
                <w:color w:val="auto"/>
              </w:rPr>
              <w:t>Voting Rights</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For a description of the voting rights contained in our</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Articles see “Description of the Share Capital and Articles</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of Association—Articles of Association—Shares and</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Rights Attaching to Them—Voting Rights” in this</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prospectus.</w:t>
            </w: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Shareholder Vote</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The U.K. Companies Act 2006 provides for schemes of</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on Certain</w:t>
            </w: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These arrangements require: (1) the approval, at a</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shareholders’ or creditors’ meeting convened by order of a</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court of England and Wales, of a majority in number</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representing not less than 75% in value of the creditors or</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class of creditors or members or class of members (as the</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case may be) present and voting, either in person or by</w:t>
            </w:r>
          </w:p>
        </w:tc>
      </w:tr>
      <w:tr>
        <w:trPr>
          <w:trHeight w:val="203"/>
        </w:trPr>
        <w:tc>
          <w:tcPr>
            <w:tcW w:w="1580" w:type="dxa"/>
            <w:vAlign w:val="bottom"/>
          </w:tcPr>
          <w:p>
            <w:pPr>
              <w:spacing w:after="0"/>
              <w:rPr>
                <w:sz w:val="17"/>
                <w:szCs w:val="17"/>
                <w:color w:val="auto"/>
              </w:rPr>
            </w:pP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proxy; and (2) the approval of a court of England and</w:t>
            </w:r>
          </w:p>
        </w:tc>
      </w:tr>
      <w:tr>
        <w:trPr>
          <w:trHeight w:val="217"/>
        </w:trPr>
        <w:tc>
          <w:tcPr>
            <w:tcW w:w="158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Wales.</w:t>
            </w:r>
          </w:p>
        </w:tc>
      </w:tr>
      <w:tr>
        <w:trPr>
          <w:trHeight w:val="350"/>
        </w:trPr>
        <w:tc>
          <w:tcPr>
            <w:tcW w:w="1580" w:type="dxa"/>
            <w:vAlign w:val="bottom"/>
          </w:tcPr>
          <w:p>
            <w:pPr>
              <w:spacing w:after="0"/>
              <w:rPr>
                <w:sz w:val="20"/>
                <w:szCs w:val="20"/>
                <w:color w:val="auto"/>
              </w:rPr>
            </w:pPr>
            <w:r>
              <w:rPr>
                <w:rFonts w:ascii="Arial" w:cs="Arial" w:eastAsia="Arial" w:hAnsi="Arial"/>
                <w:sz w:val="18"/>
                <w:szCs w:val="18"/>
                <w:color w:val="auto"/>
              </w:rPr>
              <w:t>Standard of</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Under English law, a director owes various statutory and</w:t>
            </w:r>
          </w:p>
        </w:tc>
      </w:t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color w:val="auto"/>
              </w:rPr>
              <w:t>Conduct for</w:t>
            </w:r>
          </w:p>
        </w:tc>
        <w:tc>
          <w:tcPr>
            <w:tcW w:w="48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fiduciary duties to the company, including:</w:t>
            </w:r>
          </w:p>
        </w:tc>
      </w:tr>
      <w:tr>
        <w:trPr>
          <w:trHeight w:val="217"/>
        </w:trPr>
        <w:tc>
          <w:tcPr>
            <w:tcW w:w="1580" w:type="dxa"/>
            <w:vAlign w:val="bottom"/>
          </w:tcPr>
          <w:p>
            <w:pPr>
              <w:spacing w:after="0"/>
              <w:rPr>
                <w:sz w:val="20"/>
                <w:szCs w:val="20"/>
                <w:color w:val="auto"/>
              </w:rPr>
            </w:pPr>
            <w:r>
              <w:rPr>
                <w:rFonts w:ascii="Arial" w:cs="Arial" w:eastAsia="Arial" w:hAnsi="Arial"/>
                <w:sz w:val="18"/>
                <w:szCs w:val="18"/>
                <w:color w:val="auto"/>
              </w:rPr>
              <w:t>Directors</w:t>
            </w: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29"/>
        </w:trPr>
        <w:tc>
          <w:tcPr>
            <w:tcW w:w="1580" w:type="dxa"/>
            <w:vAlign w:val="bottom"/>
          </w:tcPr>
          <w:p>
            <w:pPr>
              <w:spacing w:after="0"/>
              <w:rPr>
                <w:sz w:val="19"/>
                <w:szCs w:val="19"/>
                <w:color w:val="auto"/>
              </w:rPr>
            </w:pPr>
          </w:p>
        </w:tc>
        <w:tc>
          <w:tcPr>
            <w:tcW w:w="4880" w:type="dxa"/>
            <w:vAlign w:val="bottom"/>
            <w:gridSpan w:val="2"/>
          </w:tcPr>
          <w:p>
            <w:pPr>
              <w:ind w:left="2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 good faith,</w:t>
            </w:r>
          </w:p>
        </w:tc>
      </w:tr>
      <w:tr>
        <w:trPr>
          <w:trHeight w:val="203"/>
        </w:trPr>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would be most likely to promote the success of the</w:t>
            </w:r>
          </w:p>
        </w:tc>
      </w:tr>
      <w:tr>
        <w:trPr>
          <w:trHeight w:val="217"/>
        </w:trPr>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company for the benefit of its members as a whole;</w:t>
            </w:r>
          </w:p>
        </w:tc>
      </w:tr>
      <w:tr>
        <w:trPr>
          <w:trHeight w:val="229"/>
        </w:trPr>
        <w:tc>
          <w:tcPr>
            <w:tcW w:w="1580" w:type="dxa"/>
            <w:vAlign w:val="bottom"/>
          </w:tcPr>
          <w:p>
            <w:pPr>
              <w:spacing w:after="0"/>
              <w:rPr>
                <w:sz w:val="19"/>
                <w:szCs w:val="19"/>
                <w:color w:val="auto"/>
              </w:rPr>
            </w:pPr>
          </w:p>
        </w:tc>
        <w:tc>
          <w:tcPr>
            <w:tcW w:w="4880" w:type="dxa"/>
            <w:vAlign w:val="bottom"/>
            <w:gridSpan w:val="2"/>
          </w:tcPr>
          <w:p>
            <w:pPr>
              <w:ind w:left="2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 has, or can</w:t>
            </w:r>
          </w:p>
        </w:tc>
      </w:tr>
      <w:tr>
        <w:trPr>
          <w:trHeight w:val="203"/>
        </w:trPr>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have, a direct or indirect interest that conflicts, or</w:t>
            </w:r>
          </w:p>
        </w:tc>
      </w:tr>
      <w:tr>
        <w:trPr>
          <w:trHeight w:val="217"/>
        </w:trPr>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possibly conflicts, with the interests of the company;</w:t>
            </w:r>
          </w:p>
        </w:tc>
      </w:tr>
      <w:tr>
        <w:trPr>
          <w:trHeight w:val="229"/>
        </w:trPr>
        <w:tc>
          <w:tcPr>
            <w:tcW w:w="1580" w:type="dxa"/>
            <w:vAlign w:val="bottom"/>
          </w:tcPr>
          <w:p>
            <w:pPr>
              <w:spacing w:after="0"/>
              <w:rPr>
                <w:sz w:val="19"/>
                <w:szCs w:val="19"/>
                <w:color w:val="auto"/>
              </w:rPr>
            </w:pPr>
          </w:p>
        </w:tc>
        <w:tc>
          <w:tcPr>
            <w:tcW w:w="4880" w:type="dxa"/>
            <w:vAlign w:val="bottom"/>
            <w:gridSpan w:val="2"/>
          </w:tcPr>
          <w:p>
            <w:pPr>
              <w:ind w:left="2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 constitution</w:t>
            </w:r>
          </w:p>
        </w:tc>
      </w:tr>
      <w:tr>
        <w:trPr>
          <w:trHeight w:val="203"/>
        </w:trPr>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Pr>
          <w:p>
            <w:pPr>
              <w:ind w:left="320"/>
              <w:spacing w:after="0" w:line="202" w:lineRule="exact"/>
              <w:rPr>
                <w:sz w:val="20"/>
                <w:szCs w:val="20"/>
                <w:color w:val="auto"/>
              </w:rPr>
            </w:pPr>
            <w:r>
              <w:rPr>
                <w:rFonts w:ascii="Arial" w:cs="Arial" w:eastAsia="Arial" w:hAnsi="Arial"/>
                <w:sz w:val="18"/>
                <w:szCs w:val="18"/>
                <w:color w:val="auto"/>
              </w:rPr>
              <w:t>and only exercise his or her powers for the purposes</w:t>
            </w:r>
          </w:p>
        </w:tc>
      </w:tr>
      <w:tr>
        <w:trPr>
          <w:trHeight w:val="217"/>
        </w:trPr>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for which they are conferred;</w:t>
            </w:r>
          </w:p>
        </w:tc>
      </w:tr>
      <w:tr>
        <w:trPr>
          <w:trHeight w:val="243"/>
        </w:trPr>
        <w:tc>
          <w:tcPr>
            <w:tcW w:w="1580" w:type="dxa"/>
            <w:vAlign w:val="bottom"/>
          </w:tcPr>
          <w:p>
            <w:pPr>
              <w:spacing w:after="0"/>
              <w:rPr>
                <w:sz w:val="21"/>
                <w:szCs w:val="21"/>
                <w:color w:val="auto"/>
              </w:rPr>
            </w:pPr>
          </w:p>
        </w:tc>
        <w:tc>
          <w:tcPr>
            <w:tcW w:w="4880" w:type="dxa"/>
            <w:vAlign w:val="bottom"/>
            <w:gridSpan w:val="2"/>
          </w:tcPr>
          <w:p>
            <w:pPr>
              <w:ind w:left="2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43"/>
        </w:trPr>
        <w:tc>
          <w:tcPr>
            <w:tcW w:w="1580" w:type="dxa"/>
            <w:vAlign w:val="bottom"/>
          </w:tcPr>
          <w:p>
            <w:pPr>
              <w:spacing w:after="0"/>
              <w:rPr>
                <w:sz w:val="21"/>
                <w:szCs w:val="21"/>
                <w:color w:val="auto"/>
              </w:rPr>
            </w:pPr>
          </w:p>
        </w:tc>
        <w:tc>
          <w:tcPr>
            <w:tcW w:w="4880" w:type="dxa"/>
            <w:vAlign w:val="bottom"/>
            <w:gridSpan w:val="2"/>
          </w:tcPr>
          <w:p>
            <w:pPr>
              <w:ind w:left="2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 diligence;</w:t>
            </w:r>
          </w:p>
        </w:tc>
      </w:tr>
      <w:tr>
        <w:trPr>
          <w:trHeight w:val="229"/>
        </w:trPr>
        <w:tc>
          <w:tcPr>
            <w:tcW w:w="1580" w:type="dxa"/>
            <w:vAlign w:val="bottom"/>
          </w:tcPr>
          <w:p>
            <w:pPr>
              <w:spacing w:after="0"/>
              <w:rPr>
                <w:sz w:val="19"/>
                <w:szCs w:val="19"/>
                <w:color w:val="auto"/>
              </w:rPr>
            </w:pPr>
          </w:p>
        </w:tc>
        <w:tc>
          <w:tcPr>
            <w:tcW w:w="4880" w:type="dxa"/>
            <w:vAlign w:val="bottom"/>
            <w:gridSpan w:val="2"/>
          </w:tcPr>
          <w:p>
            <w:pPr>
              <w:ind w:left="2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 conferred by</w:t>
            </w:r>
          </w:p>
        </w:tc>
      </w:tr>
      <w:tr>
        <w:trPr>
          <w:trHeight w:val="217"/>
        </w:trPr>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reason of his or</w:t>
            </w:r>
          </w:p>
        </w:tc>
      </w:tr>
      <w:tr>
        <w:trPr>
          <w:trHeight w:val="770"/>
        </w:trPr>
        <w:tc>
          <w:tcPr>
            <w:tcW w:w="1580" w:type="dxa"/>
            <w:vAlign w:val="bottom"/>
          </w:tcPr>
          <w:p>
            <w:pPr>
              <w:spacing w:after="0"/>
              <w:rPr>
                <w:sz w:val="24"/>
                <w:szCs w:val="24"/>
                <w:color w:val="auto"/>
              </w:rPr>
            </w:pPr>
          </w:p>
        </w:tc>
        <w:tc>
          <w:tcPr>
            <w:tcW w:w="4880" w:type="dxa"/>
            <w:vAlign w:val="bottom"/>
            <w:gridSpan w:val="2"/>
          </w:tcPr>
          <w:p>
            <w:pPr>
              <w:ind w:left="3840"/>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38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77" w:lineRule="exact"/>
        <w:rPr>
          <w:sz w:val="20"/>
          <w:szCs w:val="20"/>
          <w:color w:val="auto"/>
        </w:rPr>
      </w:pPr>
    </w:p>
    <w:p>
      <w:pPr>
        <w:ind w:left="6" w:right="120"/>
        <w:spacing w:after="0" w:line="23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53" w:lineRule="exact"/>
        <w:rPr>
          <w:sz w:val="20"/>
          <w:szCs w:val="20"/>
          <w:color w:val="auto"/>
        </w:rPr>
      </w:pPr>
    </w:p>
    <w:p>
      <w:pPr>
        <w:ind w:left="6" w:right="20"/>
        <w:spacing w:after="0" w:line="238"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230" w:lineRule="exact"/>
        <w:rPr>
          <w:sz w:val="20"/>
          <w:szCs w:val="20"/>
          <w:color w:val="auto"/>
        </w:rPr>
      </w:pPr>
    </w:p>
    <w:p>
      <w:pPr>
        <w:ind w:left="326" w:hanging="326"/>
        <w:spacing w:after="0"/>
        <w:tabs>
          <w:tab w:leader="none" w:pos="326" w:val="left"/>
        </w:tabs>
        <w:numPr>
          <w:ilvl w:val="0"/>
          <w:numId w:val="35"/>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36" w:lineRule="exact"/>
        <w:rPr>
          <w:rFonts w:ascii="MS PGothic" w:cs="MS PGothic" w:eastAsia="MS PGothic" w:hAnsi="MS PGothic"/>
          <w:sz w:val="13"/>
          <w:szCs w:val="13"/>
          <w:color w:val="auto"/>
        </w:rPr>
      </w:pPr>
    </w:p>
    <w:p>
      <w:pPr>
        <w:ind w:left="326" w:right="40" w:hanging="326"/>
        <w:spacing w:after="0" w:line="237" w:lineRule="auto"/>
        <w:tabs>
          <w:tab w:leader="none" w:pos="328" w:val="left"/>
        </w:tabs>
        <w:numPr>
          <w:ilvl w:val="0"/>
          <w:numId w:val="35"/>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70" w:lineRule="exact"/>
        <w:rPr>
          <w:sz w:val="20"/>
          <w:szCs w:val="20"/>
          <w:color w:val="auto"/>
        </w:rPr>
      </w:pPr>
    </w:p>
    <w:p>
      <w:pPr>
        <w:ind w:left="6" w:right="10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35" w:lineRule="exact"/>
        <w:rPr>
          <w:sz w:val="20"/>
          <w:szCs w:val="20"/>
          <w:color w:val="auto"/>
        </w:rPr>
      </w:pPr>
    </w:p>
    <w:p>
      <w:pPr>
        <w:ind w:left="6"/>
        <w:spacing w:after="0" w:line="236"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w:t>
      </w:r>
    </w:p>
    <w:p>
      <w:pPr>
        <w:sectPr>
          <w:pgSz w:w="11900" w:h="16838" w:orient="portrait"/>
          <w:cols w:equalWidth="0" w:num="2">
            <w:col w:w="6660" w:space="94"/>
            <w:col w:w="4466"/>
          </w:cols>
          <w:pgMar w:left="240" w:top="459" w:right="4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34"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17780</wp:posOffset>
            </wp:positionV>
            <wp:extent cx="29673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ind w:left="2300" w:right="20"/>
        <w:spacing w:after="0" w:line="246" w:lineRule="auto"/>
        <w:rPr>
          <w:sz w:val="20"/>
          <w:szCs w:val="20"/>
          <w:color w:val="auto"/>
        </w:rPr>
      </w:pPr>
      <w:r>
        <w:rPr>
          <w:rFonts w:ascii="Arial" w:cs="Arial" w:eastAsia="Arial" w:hAnsi="Arial"/>
          <w:sz w:val="18"/>
          <w:szCs w:val="18"/>
          <w:color w:val="auto"/>
        </w:rPr>
        <w:t>her being a director or doing, or not doing, anything as a director; and</w:t>
      </w:r>
    </w:p>
    <w:p>
      <w:pPr>
        <w:spacing w:after="0" w:line="21" w:lineRule="exact"/>
        <w:rPr>
          <w:sz w:val="20"/>
          <w:szCs w:val="20"/>
          <w:color w:val="auto"/>
        </w:rPr>
      </w:pPr>
    </w:p>
    <w:p>
      <w:pPr>
        <w:ind w:left="2300" w:right="60" w:hanging="327"/>
        <w:spacing w:after="0" w:line="261" w:lineRule="auto"/>
        <w:tabs>
          <w:tab w:leader="none" w:pos="2301"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a duty to declare any interest that he or she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tabs>
          <w:tab w:leader="none" w:pos="196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 rather than its</w:t>
      </w:r>
    </w:p>
    <w:p>
      <w:pPr>
        <w:jc w:val="right"/>
        <w:spacing w:after="0" w:line="234" w:lineRule="auto"/>
        <w:rPr>
          <w:sz w:val="20"/>
          <w:szCs w:val="20"/>
          <w:color w:val="auto"/>
        </w:rPr>
      </w:pPr>
      <w:r>
        <w:rPr>
          <w:rFonts w:ascii="Arial" w:cs="Arial" w:eastAsia="Arial" w:hAnsi="Arial"/>
          <w:sz w:val="18"/>
          <w:szCs w:val="18"/>
          <w:color w:val="auto"/>
        </w:rPr>
        <w:t>shareholders, is the proper claimant in an action in respect</w:t>
      </w:r>
    </w:p>
    <w:p>
      <w:pPr>
        <w:ind w:left="1980"/>
        <w:spacing w:after="0" w:line="235" w:lineRule="auto"/>
        <w:rPr>
          <w:sz w:val="20"/>
          <w:szCs w:val="20"/>
          <w:color w:val="auto"/>
        </w:rPr>
      </w:pPr>
      <w:r>
        <w:rPr>
          <w:rFonts w:ascii="Arial" w:cs="Arial" w:eastAsia="Arial" w:hAnsi="Arial"/>
          <w:sz w:val="18"/>
          <w:szCs w:val="18"/>
          <w:color w:val="auto"/>
        </w:rPr>
        <w:t>of a wrong done to the company or where there is an</w:t>
      </w:r>
    </w:p>
    <w:p>
      <w:pPr>
        <w:ind w:left="1980"/>
        <w:spacing w:after="0" w:line="235" w:lineRule="auto"/>
        <w:rPr>
          <w:sz w:val="20"/>
          <w:szCs w:val="20"/>
          <w:color w:val="auto"/>
        </w:rPr>
      </w:pPr>
      <w:r>
        <w:rPr>
          <w:rFonts w:ascii="Arial" w:cs="Arial" w:eastAsia="Arial" w:hAnsi="Arial"/>
          <w:sz w:val="18"/>
          <w:szCs w:val="18"/>
          <w:color w:val="auto"/>
        </w:rPr>
        <w:t>irregularity in the company’s internal management.</w:t>
      </w:r>
    </w:p>
    <w:p>
      <w:pPr>
        <w:ind w:left="1980"/>
        <w:spacing w:after="0" w:line="235" w:lineRule="auto"/>
        <w:rPr>
          <w:sz w:val="20"/>
          <w:szCs w:val="20"/>
          <w:color w:val="auto"/>
        </w:rPr>
      </w:pPr>
      <w:r>
        <w:rPr>
          <w:rFonts w:ascii="Arial" w:cs="Arial" w:eastAsia="Arial" w:hAnsi="Arial"/>
          <w:sz w:val="18"/>
          <w:szCs w:val="18"/>
          <w:color w:val="auto"/>
        </w:rPr>
        <w:t>Notwithstanding this general position, the U.K. Companies</w:t>
      </w:r>
    </w:p>
    <w:p>
      <w:pPr>
        <w:ind w:left="1980"/>
        <w:spacing w:after="0"/>
        <w:rPr>
          <w:sz w:val="20"/>
          <w:szCs w:val="20"/>
          <w:color w:val="auto"/>
        </w:rPr>
      </w:pPr>
      <w:r>
        <w:rPr>
          <w:rFonts w:ascii="Arial" w:cs="Arial" w:eastAsia="Arial" w:hAnsi="Arial"/>
          <w:sz w:val="17"/>
          <w:szCs w:val="17"/>
          <w:color w:val="auto"/>
        </w:rPr>
        <w:t>Act 2006 provides that (1) a court may allow a shareholder</w:t>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 bring a derivative claim (that is, an action in respect of</w:t>
      </w:r>
    </w:p>
    <w:p>
      <w:pPr>
        <w:ind w:left="1980"/>
        <w:spacing w:after="0" w:line="234" w:lineRule="auto"/>
        <w:rPr>
          <w:sz w:val="20"/>
          <w:szCs w:val="20"/>
          <w:color w:val="auto"/>
        </w:rPr>
      </w:pPr>
      <w:r>
        <w:rPr>
          <w:rFonts w:ascii="Arial" w:cs="Arial" w:eastAsia="Arial" w:hAnsi="Arial"/>
          <w:sz w:val="18"/>
          <w:szCs w:val="18"/>
          <w:color w:val="auto"/>
        </w:rPr>
        <w:t>and on behalf of the company) in respect of a cause of</w:t>
      </w:r>
    </w:p>
    <w:p>
      <w:pPr>
        <w:ind w:left="1980"/>
        <w:spacing w:after="0" w:line="235" w:lineRule="auto"/>
        <w:rPr>
          <w:sz w:val="20"/>
          <w:szCs w:val="20"/>
          <w:color w:val="auto"/>
        </w:rPr>
      </w:pPr>
      <w:r>
        <w:rPr>
          <w:rFonts w:ascii="Arial" w:cs="Arial" w:eastAsia="Arial" w:hAnsi="Arial"/>
          <w:sz w:val="18"/>
          <w:szCs w:val="18"/>
          <w:color w:val="auto"/>
        </w:rPr>
        <w:t>action arising from a director’s negligence, default, breach</w:t>
      </w:r>
    </w:p>
    <w:p>
      <w:pPr>
        <w:ind w:left="1980"/>
        <w:spacing w:after="0" w:line="235" w:lineRule="auto"/>
        <w:rPr>
          <w:sz w:val="20"/>
          <w:szCs w:val="20"/>
          <w:color w:val="auto"/>
        </w:rPr>
      </w:pPr>
      <w:r>
        <w:rPr>
          <w:rFonts w:ascii="Arial" w:cs="Arial" w:eastAsia="Arial" w:hAnsi="Arial"/>
          <w:sz w:val="18"/>
          <w:szCs w:val="18"/>
          <w:color w:val="auto"/>
        </w:rPr>
        <w:t>of duty or breach of trust and (2) a shareholder may bring</w:t>
      </w:r>
    </w:p>
    <w:p>
      <w:pPr>
        <w:ind w:left="1980"/>
        <w:spacing w:after="0" w:line="235" w:lineRule="auto"/>
        <w:rPr>
          <w:sz w:val="20"/>
          <w:szCs w:val="20"/>
          <w:color w:val="auto"/>
        </w:rPr>
      </w:pPr>
      <w:r>
        <w:rPr>
          <w:rFonts w:ascii="Arial" w:cs="Arial" w:eastAsia="Arial" w:hAnsi="Arial"/>
          <w:sz w:val="18"/>
          <w:szCs w:val="18"/>
          <w:color w:val="auto"/>
        </w:rPr>
        <w:t>a claim for a court order on the ground that the company’s</w:t>
      </w:r>
    </w:p>
    <w:p>
      <w:pPr>
        <w:ind w:left="1980"/>
        <w:spacing w:after="0" w:line="235" w:lineRule="auto"/>
        <w:rPr>
          <w:sz w:val="20"/>
          <w:szCs w:val="20"/>
          <w:color w:val="auto"/>
        </w:rPr>
      </w:pPr>
      <w:r>
        <w:rPr>
          <w:rFonts w:ascii="Arial" w:cs="Arial" w:eastAsia="Arial" w:hAnsi="Arial"/>
          <w:sz w:val="18"/>
          <w:szCs w:val="18"/>
          <w:color w:val="auto"/>
        </w:rPr>
        <w:t>affairs have been or are being conducted in a manner that</w:t>
      </w:r>
    </w:p>
    <w:p>
      <w:pPr>
        <w:ind w:left="1980"/>
        <w:spacing w:after="0" w:line="235" w:lineRule="auto"/>
        <w:rPr>
          <w:sz w:val="20"/>
          <w:szCs w:val="20"/>
          <w:color w:val="auto"/>
        </w:rPr>
      </w:pPr>
      <w:r>
        <w:rPr>
          <w:rFonts w:ascii="Arial" w:cs="Arial" w:eastAsia="Arial" w:hAnsi="Arial"/>
          <w:sz w:val="18"/>
          <w:szCs w:val="18"/>
          <w:color w:val="auto"/>
        </w:rPr>
        <w:t>is unfairly prejudicial to the interests of its shareholders</w:t>
      </w:r>
    </w:p>
    <w:p>
      <w:pPr>
        <w:ind w:left="1980"/>
        <w:spacing w:after="0" w:line="235" w:lineRule="auto"/>
        <w:rPr>
          <w:sz w:val="20"/>
          <w:szCs w:val="20"/>
          <w:color w:val="auto"/>
        </w:rPr>
      </w:pPr>
      <w:r>
        <w:rPr>
          <w:rFonts w:ascii="Arial" w:cs="Arial" w:eastAsia="Arial" w:hAnsi="Arial"/>
          <w:sz w:val="18"/>
          <w:szCs w:val="18"/>
          <w:color w:val="auto"/>
        </w:rPr>
        <w:t>generally or of some of its shareholders, or that an actual</w:t>
      </w:r>
    </w:p>
    <w:p>
      <w:pPr>
        <w:ind w:left="1980"/>
        <w:spacing w:after="0"/>
        <w:rPr>
          <w:sz w:val="20"/>
          <w:szCs w:val="20"/>
          <w:color w:val="auto"/>
        </w:rPr>
      </w:pPr>
      <w:r>
        <w:rPr>
          <w:rFonts w:ascii="Arial" w:cs="Arial" w:eastAsia="Arial" w:hAnsi="Arial"/>
          <w:sz w:val="17"/>
          <w:szCs w:val="17"/>
          <w:color w:val="auto"/>
        </w:rPr>
        <w:t>or proposed act or omission of the company is or would be</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so prejudicial.</w:t>
      </w:r>
    </w:p>
    <w:p>
      <w:pPr>
        <w:spacing w:after="0" w:line="117" w:lineRule="exact"/>
        <w:rPr>
          <w:sz w:val="20"/>
          <w:szCs w:val="20"/>
          <w:color w:val="auto"/>
        </w:rPr>
      </w:pPr>
    </w:p>
    <w:p>
      <w:pPr>
        <w:ind w:left="1980" w:right="140"/>
        <w:spacing w:after="0" w:line="246" w:lineRule="auto"/>
        <w:rPr>
          <w:sz w:val="20"/>
          <w:szCs w:val="20"/>
          <w:color w:val="auto"/>
        </w:rPr>
      </w:pPr>
      <w:r>
        <w:rPr>
          <w:rFonts w:ascii="Arial" w:cs="Arial" w:eastAsia="Arial" w:hAnsi="Arial"/>
          <w:sz w:val="18"/>
          <w:szCs w:val="18"/>
          <w:color w:val="auto"/>
        </w:rPr>
        <w:t>The U.K. Limitation Act 1980 imposes a limitation period, with certain exceptions,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38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ind w:left="6" w:right="60"/>
        <w:spacing w:after="0" w:line="236" w:lineRule="auto"/>
        <w:rPr>
          <w:sz w:val="20"/>
          <w:szCs w:val="20"/>
          <w:color w:val="auto"/>
        </w:rPr>
      </w:pPr>
      <w:r>
        <w:rPr>
          <w:rFonts w:ascii="Arial" w:cs="Arial" w:eastAsia="Arial" w:hAnsi="Arial"/>
          <w:sz w:val="18"/>
          <w:szCs w:val="18"/>
          <w:color w:val="auto"/>
        </w:rPr>
        <w:t>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69" w:lineRule="exact"/>
        <w:rPr>
          <w:sz w:val="20"/>
          <w:szCs w:val="20"/>
          <w:color w:val="auto"/>
        </w:rPr>
      </w:pPr>
    </w:p>
    <w:p>
      <w:pPr>
        <w:ind w:left="6"/>
        <w:spacing w:after="0" w:line="255" w:lineRule="auto"/>
        <w:rPr>
          <w:sz w:val="20"/>
          <w:szCs w:val="20"/>
          <w:color w:val="auto"/>
        </w:rPr>
      </w:pPr>
      <w:r>
        <w:rPr>
          <w:rFonts w:ascii="Arial" w:cs="Arial" w:eastAsia="Arial" w:hAnsi="Arial"/>
          <w:sz w:val="17"/>
          <w:szCs w:val="17"/>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55" w:lineRule="exact"/>
        <w:rPr>
          <w:sz w:val="20"/>
          <w:szCs w:val="20"/>
          <w:color w:val="auto"/>
        </w:rPr>
      </w:pPr>
    </w:p>
    <w:p>
      <w:pPr>
        <w:ind w:left="6"/>
        <w:spacing w:after="0" w:line="23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29" w:lineRule="exact"/>
        <w:rPr>
          <w:sz w:val="20"/>
          <w:szCs w:val="20"/>
          <w:color w:val="auto"/>
        </w:rPr>
      </w:pPr>
    </w:p>
    <w:p>
      <w:pPr>
        <w:ind w:left="326" w:right="40" w:hanging="326"/>
        <w:spacing w:after="0" w:line="239" w:lineRule="auto"/>
        <w:tabs>
          <w:tab w:leader="none" w:pos="288" w:val="left"/>
        </w:tabs>
        <w:numPr>
          <w:ilvl w:val="0"/>
          <w:numId w:val="37"/>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26" w:lineRule="exact"/>
        <w:rPr>
          <w:rFonts w:ascii="MS PGothic" w:cs="MS PGothic" w:eastAsia="MS PGothic" w:hAnsi="MS PGothic"/>
          <w:sz w:val="13"/>
          <w:szCs w:val="13"/>
          <w:color w:val="auto"/>
        </w:rPr>
      </w:pPr>
    </w:p>
    <w:p>
      <w:pPr>
        <w:ind w:left="326" w:right="20" w:hanging="326"/>
        <w:spacing w:after="0" w:line="239" w:lineRule="auto"/>
        <w:tabs>
          <w:tab w:leader="none" w:pos="328" w:val="left"/>
        </w:tabs>
        <w:numPr>
          <w:ilvl w:val="0"/>
          <w:numId w:val="37"/>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6" w:lineRule="exact"/>
        <w:rPr>
          <w:rFonts w:ascii="MS PGothic" w:cs="MS PGothic" w:eastAsia="MS PGothic" w:hAnsi="MS PGothic"/>
          <w:sz w:val="13"/>
          <w:szCs w:val="13"/>
          <w:color w:val="auto"/>
        </w:rPr>
      </w:pPr>
    </w:p>
    <w:p>
      <w:pPr>
        <w:ind w:left="286" w:hanging="286"/>
        <w:spacing w:after="0"/>
        <w:tabs>
          <w:tab w:leader="none" w:pos="286" w:val="left"/>
        </w:tabs>
        <w:numPr>
          <w:ilvl w:val="0"/>
          <w:numId w:val="37"/>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17" w:lineRule="exact"/>
        <w:rPr>
          <w:sz w:val="20"/>
          <w:szCs w:val="20"/>
          <w:color w:val="auto"/>
        </w:rPr>
      </w:pPr>
    </w:p>
    <w:p>
      <w:pPr>
        <w:ind w:left="6" w:right="240"/>
        <w:spacing w:after="0" w:line="261" w:lineRule="auto"/>
        <w:rPr>
          <w:sz w:val="20"/>
          <w:szCs w:val="20"/>
          <w:color w:val="auto"/>
        </w:rPr>
      </w:pPr>
      <w:r>
        <w:rPr>
          <w:rFonts w:ascii="Arial" w:cs="Arial" w:eastAsia="Arial" w:hAnsi="Arial"/>
          <w:sz w:val="17"/>
          <w:szCs w:val="17"/>
          <w:color w:val="auto"/>
        </w:rPr>
        <w:t>Additionally, the plaintiff must remain a stockholder through the duration of the derivative suit. The action will not be dismissed or compromised without the</w:t>
      </w:r>
    </w:p>
    <w:p>
      <w:pPr>
        <w:sectPr>
          <w:pgSz w:w="11900" w:h="16838" w:orient="portrait"/>
          <w:cols w:equalWidth="0" w:num="2">
            <w:col w:w="6640" w:space="114"/>
            <w:col w:w="4446"/>
          </w:cols>
          <w:pgMar w:left="240" w:top="459" w:right="45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300"/>
          </w:cols>
          <w:pgMar w:left="240" w:top="459" w:right="1359" w:bottom="1440" w:gutter="0" w:footer="0" w:header="0"/>
        </w:sectPr>
      </w:pPr>
    </w:p>
    <w:p>
      <w:pPr>
        <w:spacing w:after="0" w:line="334" w:lineRule="exact"/>
        <w:rPr>
          <w:sz w:val="20"/>
          <w:szCs w:val="20"/>
          <w:color w:val="auto"/>
        </w:rPr>
      </w:pPr>
    </w:p>
    <w:p>
      <w:pPr>
        <w:jc w:val="center"/>
        <w:ind w:left="19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17780</wp:posOffset>
            </wp:positionV>
            <wp:extent cx="29673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ind w:left="1980"/>
        <w:spacing w:after="0" w:line="253" w:lineRule="auto"/>
        <w:rPr>
          <w:sz w:val="20"/>
          <w:szCs w:val="20"/>
          <w:color w:val="auto"/>
        </w:rPr>
      </w:pPr>
      <w:r>
        <w:rPr>
          <w:rFonts w:ascii="Arial" w:cs="Arial" w:eastAsia="Arial" w:hAnsi="Arial"/>
          <w:sz w:val="17"/>
          <w:szCs w:val="17"/>
          <w:color w:val="auto"/>
        </w:rPr>
        <w:t>in respect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838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approval of the Delaware Court of Chancery.</w:t>
      </w:r>
    </w:p>
    <w:p>
      <w:pPr>
        <w:sectPr>
          <w:pgSz w:w="11900" w:h="16838" w:orient="portrait"/>
          <w:cols w:equalWidth="0" w:num="2">
            <w:col w:w="6640" w:space="120"/>
            <w:col w:w="3540"/>
          </w:cols>
          <w:pgMar w:left="240" w:top="459" w:right="13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You may obtain a copy of the deposit agreement from the SEC’s website (www.sec.gov). Please refer to registration number 333-223890 when retrieving such copy.</w:t>
      </w:r>
    </w:p>
    <w:p>
      <w:pPr>
        <w:spacing w:after="0" w:line="203" w:lineRule="exact"/>
        <w:rPr>
          <w:sz w:val="20"/>
          <w:szCs w:val="20"/>
          <w:color w:val="auto"/>
        </w:rPr>
      </w:pPr>
    </w:p>
    <w:p>
      <w:pPr>
        <w:jc w:val="both"/>
        <w:ind w:left="200" w:firstLine="441"/>
        <w:spacing w:after="0" w:line="239"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0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91"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3"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4"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99"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202" w:lineRule="exact"/>
        <w:rPr>
          <w:sz w:val="20"/>
          <w:szCs w:val="20"/>
          <w:color w:val="auto"/>
        </w:rPr>
      </w:pPr>
    </w:p>
    <w:p>
      <w:pPr>
        <w:jc w:val="both"/>
        <w:ind w:left="200" w:right="220" w:firstLine="44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8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3"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200" w:right="220" w:firstLine="441"/>
        <w:spacing w:after="0" w:line="251"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jc w:val="both"/>
        <w:ind w:left="200" w:right="60" w:firstLine="441"/>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200" w:right="160" w:firstLine="441"/>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1" w:lineRule="exact"/>
        <w:rPr>
          <w:sz w:val="20"/>
          <w:szCs w:val="20"/>
          <w:color w:val="auto"/>
        </w:rPr>
      </w:pPr>
    </w:p>
    <w:p>
      <w:pPr>
        <w:ind w:left="1060" w:hanging="424"/>
        <w:spacing w:after="0"/>
        <w:tabs>
          <w:tab w:leader="none" w:pos="10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3"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200" w:right="360" w:firstLine="44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200" w:right="460" w:firstLine="44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jc w:val="both"/>
        <w:ind w:left="200" w:right="140" w:firstLine="441"/>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200" w:right="740" w:firstLine="441"/>
        <w:spacing w:after="0" w:line="246"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97"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1" w:lineRule="exact"/>
        <w:rPr>
          <w:sz w:val="20"/>
          <w:szCs w:val="20"/>
          <w:color w:val="auto"/>
        </w:rPr>
      </w:pPr>
    </w:p>
    <w:p>
      <w:pPr>
        <w:ind w:left="1060" w:hanging="424"/>
        <w:spacing w:after="0"/>
        <w:tabs>
          <w:tab w:leader="none" w:pos="10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99" w:lineRule="exact"/>
        <w:rPr>
          <w:sz w:val="20"/>
          <w:szCs w:val="20"/>
          <w:color w:val="auto"/>
        </w:rPr>
      </w:pPr>
    </w:p>
    <w:p>
      <w:pPr>
        <w:ind w:left="200" w:right="240" w:firstLine="44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200" w:firstLine="441"/>
        <w:spacing w:after="0" w:line="25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Ordinary Shares</w:t>
      </w:r>
    </w:p>
    <w:p>
      <w:pPr>
        <w:spacing w:after="0" w:line="85"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85"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England and Wales applicable at the time of deposit.</w:t>
      </w:r>
    </w:p>
    <w:p>
      <w:pPr>
        <w:spacing w:after="0" w:line="202"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224" w:lineRule="exact"/>
        <w:rPr>
          <w:sz w:val="20"/>
          <w:szCs w:val="20"/>
          <w:color w:val="auto"/>
        </w:rPr>
      </w:pPr>
    </w:p>
    <w:p>
      <w:pPr>
        <w:ind w:left="1060" w:right="120" w:hanging="424"/>
        <w:spacing w:after="0" w:line="218" w:lineRule="auto"/>
        <w:tabs>
          <w:tab w:leader="none" w:pos="10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1060" w:right="740" w:hanging="424"/>
        <w:spacing w:after="0" w:line="218" w:lineRule="auto"/>
        <w:tabs>
          <w:tab w:leader="none" w:pos="10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1060" w:right="180" w:hanging="424"/>
        <w:spacing w:after="0" w:line="223" w:lineRule="auto"/>
        <w:tabs>
          <w:tab w:leader="none" w:pos="10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your cost and expense, take any and all actions necessary to correct the consequences of the misrepresentation.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20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203" w:lineRule="exact"/>
        <w:rPr>
          <w:sz w:val="20"/>
          <w:szCs w:val="20"/>
          <w:color w:val="auto"/>
        </w:rPr>
      </w:pPr>
    </w:p>
    <w:p>
      <w:pPr>
        <w:ind w:left="1060" w:hanging="424"/>
        <w:spacing w:after="0"/>
        <w:tabs>
          <w:tab w:leader="none" w:pos="10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1060" w:right="440" w:hanging="424"/>
        <w:spacing w:after="0" w:line="218" w:lineRule="auto"/>
        <w:tabs>
          <w:tab w:leader="none" w:pos="10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85" w:lineRule="exact"/>
        <w:rPr>
          <w:sz w:val="20"/>
          <w:szCs w:val="20"/>
          <w:color w:val="auto"/>
        </w:rPr>
      </w:pPr>
    </w:p>
    <w:p>
      <w:pPr>
        <w:ind w:left="200" w:right="160" w:firstLine="441"/>
        <w:spacing w:after="0" w:line="238"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w:t>
      </w:r>
    </w:p>
    <w:p>
      <w:pPr>
        <w:spacing w:after="0" w:line="203"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You assume the risk for delivery of all funds and securities upon withdrawal. Once canceled, the ADSs will not have any rights under the deposit agreement.</w:t>
      </w:r>
    </w:p>
    <w:p>
      <w:pPr>
        <w:spacing w:after="0" w:line="197"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239" w:lineRule="exact"/>
        <w:rPr>
          <w:sz w:val="20"/>
          <w:szCs w:val="20"/>
          <w:color w:val="auto"/>
        </w:rPr>
      </w:pPr>
    </w:p>
    <w:p>
      <w:pPr>
        <w:ind w:left="1060" w:right="500" w:hanging="424"/>
        <w:spacing w:after="0" w:line="218" w:lineRule="auto"/>
        <w:tabs>
          <w:tab w:leader="none" w:pos="10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3"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9" w:lineRule="exact"/>
        <w:rPr>
          <w:sz w:val="20"/>
          <w:szCs w:val="20"/>
          <w:color w:val="auto"/>
        </w:rPr>
      </w:pPr>
    </w:p>
    <w:p>
      <w:pPr>
        <w:jc w:val="both"/>
        <w:ind w:left="200" w:right="40" w:firstLine="44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203"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1060" w:hanging="424"/>
        <w:spacing w:after="0" w:line="230" w:lineRule="auto"/>
        <w:tabs>
          <w:tab w:leader="none" w:pos="10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9" w:lineRule="exact"/>
        <w:rPr>
          <w:rFonts w:ascii="MS PGothic" w:cs="MS PGothic" w:eastAsia="MS PGothic" w:hAnsi="MS PGothic"/>
          <w:sz w:val="25"/>
          <w:szCs w:val="25"/>
          <w:color w:val="auto"/>
          <w:vertAlign w:val="superscript"/>
        </w:rPr>
      </w:pPr>
    </w:p>
    <w:p>
      <w:pPr>
        <w:ind w:left="1060" w:right="100" w:hanging="424"/>
        <w:spacing w:after="0" w:line="232" w:lineRule="auto"/>
        <w:tabs>
          <w:tab w:leader="none" w:pos="10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2"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240" w:top="459" w:right="5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p>
      <w:pPr>
        <w:ind w:left="200"/>
        <w:spacing w:after="0"/>
        <w:tabs>
          <w:tab w:leader="none" w:pos="9480" w:val="left"/>
        </w:tabs>
        <w:rPr>
          <w:sz w:val="20"/>
          <w:szCs w:val="20"/>
          <w:color w:val="auto"/>
        </w:rPr>
      </w:pPr>
      <w:r>
        <w:rPr>
          <w:rFonts w:ascii="Arial" w:cs="Arial" w:eastAsia="Arial" w:hAnsi="Arial"/>
          <w:sz w:val="14"/>
          <w:szCs w:val="14"/>
          <w:b w:val="1"/>
          <w:bCs w:val="1"/>
          <w:u w:val="single" w:color="auto"/>
          <w:color w:val="auto"/>
        </w:rPr>
        <w:t>Service</w:t>
      </w:r>
      <w:r>
        <w:rPr>
          <w:sz w:val="20"/>
          <w:szCs w:val="20"/>
          <w:color w:val="auto"/>
        </w:rPr>
        <w:tab/>
      </w:r>
      <w:r>
        <w:rPr>
          <w:rFonts w:ascii="Arial" w:cs="Arial" w:eastAsia="Arial" w:hAnsi="Arial"/>
          <w:sz w:val="14"/>
          <w:szCs w:val="14"/>
          <w:b w:val="1"/>
          <w:bCs w:val="1"/>
          <w:color w:val="auto"/>
        </w:rPr>
        <w:t>Fee</w:t>
      </w:r>
    </w:p>
    <w:p>
      <w:pPr>
        <w:sectPr>
          <w:pgSz w:w="11900" w:h="16838" w:orient="portrait"/>
          <w:cols w:equalWidth="0" w:num="1">
            <w:col w:w="11040"/>
          </w:cols>
          <w:pgMar w:left="240" w:top="459" w:right="619" w:bottom="1440" w:gutter="0" w:footer="0" w:header="0"/>
        </w:sectPr>
      </w:pPr>
    </w:p>
    <w:p>
      <w:pPr>
        <w:spacing w:after="0" w:line="27" w:lineRule="exact"/>
        <w:rPr>
          <w:sz w:val="20"/>
          <w:szCs w:val="20"/>
          <w:color w:val="auto"/>
        </w:rPr>
      </w:pPr>
    </w:p>
    <w:p>
      <w:pPr>
        <w:jc w:val="both"/>
        <w:ind w:left="380" w:hanging="179"/>
        <w:spacing w:after="0" w:line="234" w:lineRule="auto"/>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excluding ADS issuances as a result of distributions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-383540</wp:posOffset>
            </wp:positionV>
            <wp:extent cx="6997700" cy="386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386080"/>
                    </a:xfrm>
                    <a:prstGeom prst="rect">
                      <a:avLst/>
                    </a:prstGeom>
                    <a:noFill/>
                  </pic:spPr>
                </pic:pic>
              </a:graphicData>
            </a:graphic>
          </wp:anchor>
        </w:drawing>
      </w:r>
    </w:p>
    <w:p>
      <w:pPr>
        <w:ind w:left="380" w:right="200" w:hanging="179"/>
        <w:spacing w:after="0" w:line="242"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1" w:lineRule="exact"/>
        <w:rPr>
          <w:sz w:val="20"/>
          <w:szCs w:val="20"/>
          <w:color w:val="auto"/>
        </w:rPr>
      </w:pPr>
    </w:p>
    <w:p>
      <w:pPr>
        <w:ind w:left="380" w:right="300" w:hanging="179"/>
        <w:spacing w:after="0" w:line="242"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-264160</wp:posOffset>
            </wp:positionV>
            <wp:extent cx="6997700" cy="266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266065"/>
                    </a:xfrm>
                    <a:prstGeom prst="rect">
                      <a:avLst/>
                    </a:prstGeom>
                    <a:noFill/>
                  </pic:spPr>
                </pic:pic>
              </a:graphicData>
            </a:graphic>
          </wp:anchor>
        </w:drawing>
      </w:r>
    </w:p>
    <w:p>
      <w:pPr>
        <w:ind w:left="380" w:right="880" w:hanging="179"/>
        <w:spacing w:after="0" w:line="242"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1" w:lineRule="exact"/>
        <w:rPr>
          <w:sz w:val="20"/>
          <w:szCs w:val="20"/>
          <w:color w:val="auto"/>
        </w:rPr>
      </w:pPr>
    </w:p>
    <w:p>
      <w:pPr>
        <w:ind w:left="380" w:right="340" w:hanging="179"/>
        <w:spacing w:after="0" w:line="242"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-264160</wp:posOffset>
            </wp:positionV>
            <wp:extent cx="6997700" cy="266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26606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1" w:lineRule="exact"/>
        <w:rPr>
          <w:sz w:val="20"/>
          <w:szCs w:val="20"/>
          <w:color w:val="auto"/>
        </w:rPr>
      </w:pPr>
    </w:p>
    <w:p>
      <w:pPr>
        <w:ind w:left="380" w:right="20" w:hanging="179"/>
        <w:spacing w:after="0" w:line="242"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-264160</wp:posOffset>
            </wp:positionV>
            <wp:extent cx="6997700" cy="266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266065"/>
                    </a:xfrm>
                    <a:prstGeom prst="rect">
                      <a:avLst/>
                    </a:prstGeom>
                    <a:noFill/>
                  </pic:spPr>
                </pic:pic>
              </a:graphicData>
            </a:graphic>
          </wp:anchor>
        </w:drawing>
      </w:r>
    </w:p>
    <w:p>
      <w:pPr>
        <w:ind w:left="380" w:right="100" w:hanging="179"/>
        <w:spacing w:after="0"/>
        <w:rPr>
          <w:sz w:val="20"/>
          <w:szCs w:val="20"/>
          <w:color w:val="auto"/>
        </w:rPr>
      </w:pPr>
      <w:r>
        <w:rPr>
          <w:rFonts w:ascii="Arial" w:cs="Arial" w:eastAsia="Arial" w:hAnsi="Arial"/>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issued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cancelled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Up to $5.00 per 100 ADSs (or fraction thereof) held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Up to $5.00 per 100 ADSs (or fraction thereof) held on the applicable record date(s) established by the depositary Up to $5.00 per 100 ADSs (or fraction thereof) transferred</w:t>
      </w:r>
    </w:p>
    <w:p>
      <w:pPr>
        <w:spacing w:after="0" w:line="191"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Up to $5.00 per 100 ADSs (or fraction thereof) converted</w:t>
      </w:r>
    </w:p>
    <w:p>
      <w:pPr>
        <w:spacing w:after="0" w:line="580" w:lineRule="exact"/>
        <w:rPr>
          <w:sz w:val="20"/>
          <w:szCs w:val="20"/>
          <w:color w:val="auto"/>
        </w:rPr>
      </w:pPr>
    </w:p>
    <w:p>
      <w:pPr>
        <w:sectPr>
          <w:pgSz w:w="11900" w:h="16838" w:orient="portrait"/>
          <w:cols w:equalWidth="0" w:num="2">
            <w:col w:w="7900" w:space="140"/>
            <w:col w:w="3000"/>
          </w:cols>
          <w:pgMar w:left="240" w:top="459" w:right="619" w:bottom="1440" w:gutter="0" w:footer="0" w:header="0"/>
          <w:type w:val="continuous"/>
        </w:sectPr>
      </w:pPr>
    </w:p>
    <w:p>
      <w:pPr>
        <w:spacing w:after="0" w:line="3" w:lineRule="exact"/>
        <w:rPr>
          <w:sz w:val="20"/>
          <w:szCs w:val="20"/>
          <w:color w:val="auto"/>
        </w:rPr>
      </w:pPr>
    </w:p>
    <w:p>
      <w:pPr>
        <w:ind w:left="1060" w:hanging="424"/>
        <w:spacing w:after="0"/>
        <w:tabs>
          <w:tab w:leader="none" w:pos="10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1060" w:right="380" w:hanging="424"/>
        <w:spacing w:after="0" w:line="223" w:lineRule="auto"/>
        <w:tabs>
          <w:tab w:leader="none" w:pos="10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1060" w:right="60" w:hanging="424"/>
        <w:spacing w:after="0" w:line="218" w:lineRule="auto"/>
        <w:tabs>
          <w:tab w:leader="none" w:pos="10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1060" w:right="60" w:hanging="424"/>
        <w:spacing w:after="0" w:line="218" w:lineRule="auto"/>
        <w:tabs>
          <w:tab w:leader="none" w:pos="10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240" w:top="459" w:right="6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14"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200" w:right="320" w:firstLine="44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3" w:lineRule="exact"/>
        <w:rPr>
          <w:sz w:val="20"/>
          <w:szCs w:val="20"/>
          <w:color w:val="auto"/>
        </w:rPr>
      </w:pPr>
    </w:p>
    <w:p>
      <w:pPr>
        <w:jc w:val="both"/>
        <w:ind w:left="200" w:right="60" w:firstLine="441"/>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200" w:right="240" w:firstLine="44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200" w:right="600" w:firstLine="44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200" w:right="280" w:firstLine="441"/>
        <w:spacing w:after="0"/>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39" w:lineRule="exact"/>
        <w:rPr>
          <w:sz w:val="20"/>
          <w:szCs w:val="20"/>
          <w:color w:val="auto"/>
        </w:rPr>
      </w:pPr>
    </w:p>
    <w:p>
      <w:pPr>
        <w:ind w:left="1060" w:right="120" w:hanging="424"/>
        <w:spacing w:after="0" w:line="218"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1060" w:right="80" w:hanging="424"/>
        <w:spacing w:after="0" w:line="218"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1060" w:hanging="424"/>
        <w:spacing w:after="0" w:line="228"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ind w:left="1060" w:hanging="424"/>
        <w:spacing w:after="0" w:line="230" w:lineRule="auto"/>
        <w:tabs>
          <w:tab w:leader="none" w:pos="10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220" w:hanging="424"/>
        <w:spacing w:after="0" w:line="228"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26" w:lineRule="exact"/>
        <w:rPr>
          <w:rFonts w:ascii="MS PGothic" w:cs="MS PGothic" w:eastAsia="MS PGothic" w:hAnsi="MS PGothic"/>
          <w:sz w:val="25"/>
          <w:szCs w:val="25"/>
          <w:color w:val="auto"/>
          <w:vertAlign w:val="superscript"/>
        </w:rPr>
      </w:pPr>
    </w:p>
    <w:p>
      <w:pPr>
        <w:ind w:left="1060" w:hanging="424"/>
        <w:spacing w:after="0" w:line="218"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1060" w:right="200" w:hanging="424"/>
        <w:spacing w:after="0" w:line="223"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5"/>
          <w:szCs w:val="25"/>
          <w:color w:val="auto"/>
          <w:vertAlign w:val="superscript"/>
        </w:rPr>
      </w:pPr>
    </w:p>
    <w:p>
      <w:pPr>
        <w:ind w:left="1060" w:hanging="424"/>
        <w:spacing w:after="0" w:line="223"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1060" w:right="100" w:hanging="424"/>
        <w:spacing w:after="0" w:line="218"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1060" w:right="540" w:hanging="424"/>
        <w:spacing w:after="0" w:line="218"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1060" w:right="440" w:hanging="424"/>
        <w:spacing w:after="0" w:line="218"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you as an ADS holder.</w:t>
      </w:r>
    </w:p>
    <w:p>
      <w:pPr>
        <w:spacing w:after="0" w:line="27" w:lineRule="exact"/>
        <w:rPr>
          <w:rFonts w:ascii="MS PGothic" w:cs="MS PGothic" w:eastAsia="MS PGothic" w:hAnsi="MS PGothic"/>
          <w:sz w:val="25"/>
          <w:szCs w:val="25"/>
          <w:color w:val="auto"/>
          <w:vertAlign w:val="superscript"/>
        </w:rPr>
      </w:pPr>
    </w:p>
    <w:p>
      <w:pPr>
        <w:ind w:left="1060" w:right="100" w:hanging="424"/>
        <w:spacing w:after="0" w:line="226" w:lineRule="auto"/>
        <w:tabs>
          <w:tab w:leader="none" w:pos="10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99" w:lineRule="exact"/>
        <w:rPr>
          <w:sz w:val="20"/>
          <w:szCs w:val="20"/>
          <w:color w:val="auto"/>
        </w:rPr>
      </w:pPr>
    </w:p>
    <w:p>
      <w:pPr>
        <w:jc w:val="both"/>
        <w:ind w:left="200" w:right="320" w:firstLine="44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ind w:left="200" w:right="280" w:firstLine="441"/>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85" w:lineRule="exact"/>
        <w:rPr>
          <w:sz w:val="20"/>
          <w:szCs w:val="20"/>
          <w:color w:val="auto"/>
        </w:rPr>
      </w:pPr>
    </w:p>
    <w:p>
      <w:pPr>
        <w:jc w:val="both"/>
        <w:ind w:left="200" w:right="100" w:firstLine="441"/>
        <w:spacing w:after="0"/>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as fees and expenses incurred in complying with currency exchange controls and other governmental requirements.</w:t>
      </w:r>
    </w:p>
    <w:p>
      <w:pPr>
        <w:spacing w:after="0" w:line="212" w:lineRule="exact"/>
        <w:rPr>
          <w:sz w:val="20"/>
          <w:szCs w:val="20"/>
          <w:color w:val="auto"/>
        </w:rPr>
      </w:pPr>
    </w:p>
    <w:p>
      <w:pPr>
        <w:ind w:left="200" w:right="760" w:firstLine="44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1060" w:right="500" w:hanging="424"/>
        <w:spacing w:after="0" w:line="218" w:lineRule="auto"/>
        <w:tabs>
          <w:tab w:leader="none" w:pos="10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99"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240" w:top="459" w:right="5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99" w:lineRule="exact"/>
        <w:rPr>
          <w:sz w:val="20"/>
          <w:szCs w:val="20"/>
          <w:color w:val="auto"/>
        </w:rPr>
      </w:pPr>
    </w:p>
    <w:p>
      <w:pPr>
        <w:jc w:val="both"/>
        <w:ind w:left="200" w:firstLine="441"/>
        <w:spacing w:after="0" w:line="234" w:lineRule="auto"/>
        <w:rPr>
          <w:sz w:val="20"/>
          <w:szCs w:val="20"/>
          <w:color w:val="auto"/>
        </w:rPr>
      </w:pPr>
      <w:r>
        <w:rPr>
          <w:rFonts w:ascii="Arial" w:cs="Arial" w:eastAsia="Arial" w:hAnsi="Arial"/>
          <w:sz w:val="18"/>
          <w:szCs w:val="18"/>
          <w:color w:val="auto"/>
        </w:rPr>
        <w:t>The following are material U.S. federal income tax consequences to the U.S. Holders (as defined below) of purchasing, owning and disposing of the ADSs and ordinary shares acquired pursuant to this offering, but it does not purport to be a comprehensive description of all tax considerations that may be relevant to a particular person’s decision to acquire the securities. This discussion applies only to a U.S. Holder that acquires ADSs in this offering and holds the ADSs or ordinary shares as capital assets for U.S. federal income tax purposes.</w:t>
      </w:r>
    </w:p>
    <w:p>
      <w:pPr>
        <w:spacing w:after="0" w:line="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In addition, it does not describe all of the tax consequences that may be relevant in light of the U.S. Holder’s particular circumstances, including any estate, gift, alternative minimum or Medicare contribution tax consequences and any tax consequences applicable to U.S. Holders subject to special rules, such as:</w:t>
      </w:r>
    </w:p>
    <w:p>
      <w:pPr>
        <w:spacing w:after="0" w:line="194" w:lineRule="exact"/>
        <w:rPr>
          <w:sz w:val="20"/>
          <w:szCs w:val="20"/>
          <w:color w:val="auto"/>
        </w:rPr>
      </w:pPr>
    </w:p>
    <w:p>
      <w:pPr>
        <w:ind w:left="1060" w:hanging="424"/>
        <w:spacing w:after="0"/>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1060" w:right="360" w:hanging="424"/>
        <w:spacing w:after="0" w:line="218"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3"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2"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200" w:right="660" w:firstLine="441"/>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97"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1060" w:hanging="424"/>
        <w:spacing w:after="0"/>
        <w:tabs>
          <w:tab w:leader="none" w:pos="10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citizen or individual resident of the United States;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100" w:hanging="424"/>
        <w:spacing w:after="0" w:line="218" w:lineRule="auto"/>
        <w:tabs>
          <w:tab w:leader="none" w:pos="10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1060" w:right="160" w:hanging="424"/>
        <w:spacing w:after="0" w:line="223" w:lineRule="auto"/>
        <w:tabs>
          <w:tab w:leader="none" w:pos="10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200" w:right="480" w:firstLine="441"/>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Special U.S. tax rules apply to U.S. Holders of stock in companies that are considered to be PFICs. In general, a non-U.S. corporation will be a passive foreign investment company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hold a significant amount of cash and cash equivalents and this may continue to be the case taking into account the cash raised in this offering. Therefore, whether we will satisfy the asset test for the current or any future taxable year generally will depend on the quarterly value of our goodwill and other intangible assets, and on how quickly we utilize the cash in our business. Because (i) the value of our goodwill may be determined by reference to the market prices of our shares or ADSs, which have been volatile given the nature and early stage of our business and have been declining, (ii) we hold cash and cash equivalents in amounts that could be significant in relation to the value of our goodwill and other intangible assets and (iii) a company’s PFIC status is an annual determination that can be made only after the end of each taxable year, there is a significant risk that we could be a PFIC under the asset test. We believe we will be a PFIC for the year ended December 31, 2019 and we were a PFIC for the year ended December 31, 2018. In addition, it is not clear how to apply the income test to a company like us, which for any particular taxable year may have gross income that is either entirely passive or that significantly exceed any active gross income, but the overall losses of which from research and development activities exceed the overall amount of its gross income for that year. We currently do not earn income from sales of drugs. Accordingly, U.S. Holders should invest in our ADSs only if they are willing to bear the U.S. federal income tax consequences associated with investments in PFICs.</w:t>
      </w:r>
    </w:p>
    <w:p>
      <w:pPr>
        <w:spacing w:after="0" w:line="205"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We provide the information necessary for a U.S. Holder to make a qualifying electing fund election (“QEF Election”) with respect to us and we will also use our best efforts to cause each Lower-tier PFIC</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205" w:lineRule="exact"/>
        <w:rPr>
          <w:sz w:val="20"/>
          <w:szCs w:val="20"/>
          <w:color w:val="auto"/>
        </w:rPr>
      </w:pPr>
    </w:p>
    <w:p>
      <w:pPr>
        <w:jc w:val="both"/>
        <w:ind w:left="200" w:right="20" w:firstLine="441"/>
        <w:spacing w:after="0" w:line="248"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200" w:right="300" w:firstLine="4"/>
        <w:spacing w:after="0" w:line="246" w:lineRule="auto"/>
        <w:tabs>
          <w:tab w:leader="none" w:pos="4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200" w:right="340" w:firstLine="441"/>
        <w:spacing w:after="0" w:line="245"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205"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Mark-to-Market Election</w:t>
      </w:r>
    </w:p>
    <w:p>
      <w:pPr>
        <w:spacing w:after="0" w:line="95"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 -market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4"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99"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6"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advisors regarding the tax consequences of receiving, converting or disposing of any non-U.S. currency, received or deemed received as dividends on our ADSs or ordinary shares or on the sale or retirement of an ADS or an ordinary share.</w:t>
      </w:r>
    </w:p>
    <w:p>
      <w:pPr>
        <w:spacing w:after="0" w:line="207"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8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Any such gain or loss will be long-term capital gain or loss if at the time of the sale or disposition the U.S. Holder has owned our ADSs or ordinary shares for more than one year. Long-term capital gains recognized by non-corporate U.S. Holders may be subject to a tax rate that is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that sell the ADSs or ordinary shares for an amount denominated in a currency other than the U.S. dollar should consult their tax advisers regarding any potential foreign currency gain or loss that may have to be recognized.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200" w:right="180" w:firstLine="441"/>
        <w:spacing w:after="0" w:line="237"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Financial Asset Information Reporting</w:t>
      </w:r>
    </w:p>
    <w:p>
      <w:pPr>
        <w:spacing w:after="0" w:line="85"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7"/>
          <w:szCs w:val="17"/>
          <w:color w:val="auto"/>
        </w:rPr>
        <w:t>Certain U.S. Holders who are individuals (or certain specified entities) may be required to report information relating to their ownership of our ADSs or ordinary shares, or non-U.S. accounts through which our ADSs or ordinary shares are held.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85"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U.K. Taxation of Dividends</w:t>
      </w:r>
    </w:p>
    <w:p>
      <w:pPr>
        <w:spacing w:after="0" w:line="99"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9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on by them in the U.K. through a branch, agency or permanent establishment in the U.K. should not be subject to U.K. tax in respect of any dividends on our ordinary shares.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99"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“recognised growth market” (as construed in accordance with section 99A of the Finance Act 1986). Holders of our ADSs who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5"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2"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20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The securities offered by this prospectus are being offered by Aspire Capital, the selling shareholder. The securities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securities offered by this prospectus may be effected in one or more of the following methods:</w:t>
      </w:r>
    </w:p>
    <w:p>
      <w:pPr>
        <w:spacing w:after="0" w:line="194" w:lineRule="exact"/>
        <w:rPr>
          <w:sz w:val="20"/>
          <w:szCs w:val="20"/>
          <w:color w:val="auto"/>
        </w:rPr>
      </w:pPr>
    </w:p>
    <w:p>
      <w:pPr>
        <w:ind w:left="1060" w:hanging="424"/>
        <w:spacing w:after="0"/>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brokers’ transactions;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transactions involving cross or block trades;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brokers, dealers, or underwriters who may act solely as agents;</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the market” into an existing market for the ADSs;</w:t>
      </w:r>
    </w:p>
    <w:p>
      <w:pPr>
        <w:spacing w:after="0" w:line="26" w:lineRule="exact"/>
        <w:rPr>
          <w:rFonts w:ascii="MS PGothic" w:cs="MS PGothic" w:eastAsia="MS PGothic" w:hAnsi="MS PGothic"/>
          <w:sz w:val="25"/>
          <w:szCs w:val="25"/>
          <w:color w:val="auto"/>
          <w:vertAlign w:val="superscript"/>
        </w:rPr>
      </w:pPr>
    </w:p>
    <w:p>
      <w:pPr>
        <w:ind w:left="1060" w:right="580" w:hanging="424"/>
        <w:spacing w:after="0" w:line="218"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privately negotiated transactions; or</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combination of the foregoing.</w:t>
      </w:r>
    </w:p>
    <w:p>
      <w:pPr>
        <w:spacing w:after="0" w:line="203"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In order to comply with the securities laws of certain states, if applicable, the securities may be sold only through registered or licensed brokers or dealers. In addition, in certain states, the securities may not be sold unless they have been registered or qualified for sale in the state or an exemption from the registration or qualification requirement is available and complied with.</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selling shareholder may transfer the securities by other means not described in this prospectus.</w:t>
      </w:r>
    </w:p>
    <w:p>
      <w:pPr>
        <w:spacing w:after="0" w:line="21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Brokers, dealers, underwriters, or agents participating in the distribution of the securities as agents may receive compensation in the form of commissions, discounts, or concessions from the selling shareholder and/or purchasers of the securities for whom the broker-dealers may act as agent. Aspire Capital has informed us that each such broker-dealer will receive commissions from Aspire Capital which will not exceed customary brokerage commissions.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Aspire Capital is an “underwriter” within the meaning of the Securities Act.</w:t>
      </w:r>
    </w:p>
    <w:p>
      <w:pPr>
        <w:spacing w:after="0" w:line="212" w:lineRule="exact"/>
        <w:rPr>
          <w:sz w:val="20"/>
          <w:szCs w:val="20"/>
          <w:color w:val="auto"/>
        </w:rPr>
      </w:pPr>
    </w:p>
    <w:p>
      <w:pPr>
        <w:ind w:left="200" w:right="660" w:firstLine="441"/>
        <w:spacing w:after="0"/>
        <w:rPr>
          <w:sz w:val="20"/>
          <w:szCs w:val="20"/>
          <w:color w:val="auto"/>
        </w:rPr>
      </w:pPr>
      <w:r>
        <w:rPr>
          <w:rFonts w:ascii="Arial" w:cs="Arial" w:eastAsia="Arial" w:hAnsi="Arial"/>
          <w:sz w:val="18"/>
          <w:szCs w:val="18"/>
          <w:color w:val="auto"/>
        </w:rPr>
        <w:t>Neither we nor Aspire Capital can presently estimate the amount of compensation that any agent will receive. We know of no existing arrangements between Aspire Capital, any other stockholder, broker, dealer, underwriter, or agent relating to the sale or distribution of the securities offered by this prospectus.</w:t>
      </w:r>
    </w:p>
    <w:p>
      <w:pPr>
        <w:spacing w:after="0" w:line="203"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We will pay all of the expenses incident to the registration, offering, and sale of the securities to the public other than commissions or discounts of underwriters, broker-dealers, or agents. We have agreed to indemnify Aspire Capital and certain other persons against certain liabilities in connection with the offering of securities offered hereby, including liabilities arising under the Securities Act or, if such indemnity is unavailable, to contribute amounts required to be paid in respect of such liabilities. Aspire Capital has agreed to indemnify us against liabilities under the Securities Act that may arise from certain written information furnished to us by Aspire Capital specifically for use in this prospectus or, if such indemnity is unavailable, to contribute amounts required to be paid in respect of such liabilities.</w:t>
      </w:r>
    </w:p>
    <w:p>
      <w:pPr>
        <w:spacing w:after="0" w:line="205"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Aspire Capital and its affiliates have agreed not to engage in any direct or indirect short selling or hedging of our securities during the term of the Purchase Agreement.</w:t>
      </w:r>
    </w:p>
    <w:p>
      <w:pPr>
        <w:spacing w:after="0" w:line="197"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We have advised Aspire Capital that while it is engaged in a distribution of the securities included in this prospectus it is required to comply with Regulation M promulgated under the Exchange Act.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5"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We may suspend the sale of securities by Aspire Capital pursuant to this prospectus for certain periods of time for certain reasons, including if the prospectus is required to be supplemented or amended to include additional material information.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by Aspire Capital.</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EXPENSES OF THE OFFERING</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estimate that our expenses in connection with the offering will be as follows:</w:t>
      </w:r>
    </w:p>
    <w:p>
      <w:pPr>
        <w:spacing w:after="0" w:line="226"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Expenses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Legal fees and expenses</w:t>
      </w:r>
    </w:p>
    <w:p>
      <w:pPr>
        <w:ind w:left="540"/>
        <w:spacing w:after="0" w:line="234"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Miscellaneous costs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3"/>
        <w:spacing w:after="0"/>
        <w:rPr>
          <w:sz w:val="20"/>
          <w:szCs w:val="20"/>
          <w:color w:val="auto"/>
        </w:rPr>
      </w:pPr>
      <w:r>
        <w:rPr>
          <w:rFonts w:ascii="Arial" w:cs="Arial" w:eastAsia="Arial" w:hAnsi="Arial"/>
          <w:sz w:val="14"/>
          <w:szCs w:val="14"/>
          <w:b w:val="1"/>
          <w:bCs w:val="1"/>
          <w:color w:val="auto"/>
        </w:rPr>
        <w:t>Amount</w:t>
      </w:r>
    </w:p>
    <w:p>
      <w:pPr>
        <w:spacing w:after="0" w:line="27" w:lineRule="exact"/>
        <w:rPr>
          <w:sz w:val="20"/>
          <w:szCs w:val="20"/>
          <w:color w:val="auto"/>
        </w:rPr>
      </w:pPr>
    </w:p>
    <w:p>
      <w:pPr>
        <w:ind w:left="483" w:hanging="483"/>
        <w:spacing w:after="0"/>
        <w:tabs>
          <w:tab w:leader="none" w:pos="483" w:val="left"/>
        </w:tabs>
        <w:numPr>
          <w:ilvl w:val="0"/>
          <w:numId w:val="53"/>
        </w:numPr>
        <w:rPr>
          <w:rFonts w:ascii="Arial" w:cs="Arial" w:eastAsia="Arial" w:hAnsi="Arial"/>
          <w:sz w:val="17"/>
          <w:szCs w:val="17"/>
          <w:color w:val="auto"/>
        </w:rPr>
      </w:pPr>
      <w:r>
        <w:rPr>
          <w:rFonts w:ascii="Arial" w:cs="Arial" w:eastAsia="Arial" w:hAnsi="Arial"/>
          <w:sz w:val="17"/>
          <w:szCs w:val="17"/>
          <w:color w:val="auto"/>
        </w:rPr>
        <w:t>3,835.00</w:t>
      </w:r>
    </w:p>
    <w:p>
      <w:pPr>
        <w:spacing w:after="0" w:line="7" w:lineRule="exact"/>
        <w:rPr>
          <w:rFonts w:ascii="Arial" w:cs="Arial" w:eastAsia="Arial" w:hAnsi="Arial"/>
          <w:sz w:val="17"/>
          <w:szCs w:val="17"/>
          <w:color w:val="auto"/>
        </w:rPr>
      </w:pPr>
    </w:p>
    <w:p>
      <w:pPr>
        <w:ind w:left="283" w:hanging="283"/>
        <w:spacing w:after="0"/>
        <w:tabs>
          <w:tab w:leader="none" w:pos="283" w:val="left"/>
        </w:tabs>
        <w:numPr>
          <w:ilvl w:val="0"/>
          <w:numId w:val="53"/>
        </w:numPr>
        <w:rPr>
          <w:rFonts w:ascii="Arial" w:cs="Arial" w:eastAsia="Arial" w:hAnsi="Arial"/>
          <w:sz w:val="17"/>
          <w:szCs w:val="17"/>
          <w:color w:val="auto"/>
        </w:rPr>
      </w:pPr>
      <w:r>
        <w:rPr>
          <w:rFonts w:ascii="Arial" w:cs="Arial" w:eastAsia="Arial" w:hAnsi="Arial"/>
          <w:sz w:val="17"/>
          <w:szCs w:val="17"/>
          <w:color w:val="auto"/>
        </w:rPr>
        <w:t>200,000.00</w:t>
      </w:r>
    </w:p>
    <w:p>
      <w:pPr>
        <w:spacing w:after="0" w:line="7" w:lineRule="exact"/>
        <w:rPr>
          <w:rFonts w:ascii="Arial" w:cs="Arial" w:eastAsia="Arial" w:hAnsi="Arial"/>
          <w:sz w:val="17"/>
          <w:szCs w:val="17"/>
          <w:color w:val="auto"/>
        </w:rPr>
      </w:pPr>
    </w:p>
    <w:p>
      <w:pPr>
        <w:ind w:left="383" w:hanging="383"/>
        <w:spacing w:after="0"/>
        <w:tabs>
          <w:tab w:leader="none" w:pos="383" w:val="left"/>
        </w:tabs>
        <w:numPr>
          <w:ilvl w:val="0"/>
          <w:numId w:val="53"/>
        </w:numPr>
        <w:rPr>
          <w:rFonts w:ascii="Arial" w:cs="Arial" w:eastAsia="Arial" w:hAnsi="Arial"/>
          <w:sz w:val="17"/>
          <w:szCs w:val="17"/>
          <w:color w:val="auto"/>
        </w:rPr>
      </w:pPr>
      <w:r>
        <w:rPr>
          <w:rFonts w:ascii="Arial" w:cs="Arial" w:eastAsia="Arial" w:hAnsi="Arial"/>
          <w:sz w:val="17"/>
          <w:szCs w:val="17"/>
          <w:color w:val="auto"/>
        </w:rPr>
        <w:t>65,000.00</w:t>
      </w:r>
    </w:p>
    <w:p>
      <w:pPr>
        <w:spacing w:after="0" w:line="7" w:lineRule="exact"/>
        <w:rPr>
          <w:rFonts w:ascii="Arial" w:cs="Arial" w:eastAsia="Arial" w:hAnsi="Arial"/>
          <w:sz w:val="17"/>
          <w:szCs w:val="17"/>
          <w:color w:val="auto"/>
        </w:rPr>
      </w:pPr>
    </w:p>
    <w:p>
      <w:pPr>
        <w:ind w:left="483" w:hanging="483"/>
        <w:spacing w:after="0"/>
        <w:tabs>
          <w:tab w:leader="none" w:pos="483" w:val="left"/>
        </w:tabs>
        <w:numPr>
          <w:ilvl w:val="0"/>
          <w:numId w:val="53"/>
        </w:numPr>
        <w:rPr>
          <w:rFonts w:ascii="Arial" w:cs="Arial" w:eastAsia="Arial" w:hAnsi="Arial"/>
          <w:sz w:val="17"/>
          <w:szCs w:val="17"/>
          <w:color w:val="auto"/>
        </w:rPr>
      </w:pPr>
      <w:r>
        <w:rPr>
          <w:rFonts w:ascii="Arial" w:cs="Arial" w:eastAsia="Arial" w:hAnsi="Arial"/>
          <w:sz w:val="17"/>
          <w:szCs w:val="17"/>
          <w:color w:val="auto"/>
        </w:rPr>
        <w:t>5,000.00</w:t>
      </w:r>
    </w:p>
    <w:p>
      <w:pPr>
        <w:spacing w:after="0" w:line="34" w:lineRule="exact"/>
        <w:rPr>
          <w:rFonts w:ascii="Arial" w:cs="Arial" w:eastAsia="Arial" w:hAnsi="Arial"/>
          <w:sz w:val="17"/>
          <w:szCs w:val="17"/>
          <w:color w:val="auto"/>
        </w:rPr>
      </w:pPr>
    </w:p>
    <w:p>
      <w:pPr>
        <w:ind w:left="283" w:hanging="283"/>
        <w:spacing w:after="0"/>
        <w:tabs>
          <w:tab w:leader="none" w:pos="283" w:val="left"/>
        </w:tabs>
        <w:numPr>
          <w:ilvl w:val="0"/>
          <w:numId w:val="5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273,835.00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543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wp:posOffset>
            </wp:positionV>
            <wp:extent cx="7543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917" w:space="720"/>
            <w:col w:w="1183"/>
          </w:cols>
          <w:pgMar w:left="240" w:top="459" w:right="839" w:bottom="1440" w:gutter="0" w:footer="0" w:header="0"/>
        </w:sectPr>
      </w:pP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amounts in the table are estimates except the SEC registration fee. We will pay all of the expenses referred to above.</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20"/>
          </w:cols>
          <w:pgMar w:left="240" w:top="459" w:right="8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consolidated financial statements of Mereo BioPharma Group plc at December 31, 2017 and 2018, and for each of the three years in the period ended December 31, 2018 appearing in Mereo BioPharma Group plc’s report on Form 20-F filed with the SEC on April 29, 2019 and amended on May 29, 2019, have been audited by Ernst &amp; Young LLP (UK),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financial statements of OncoMed Pharmaceuticals, Inc. appearing in OncoMed Pharmaceuticals, Inc.’s Annual Report (Form 10-K) for the year ended December 31, 2018, and the effectiveness of OncoMed Pharmaceuticals, Inc.’s internal control over financial reporting as of December 31, 2018 have been audited by Ernst &amp; Young LLP, independent registered public accounting firm, as set forth in their reports thereon, included therein, and incorporated herein by reference. Such financial statements are incorporated herein by reference in reliance upon such reports given on the authority of such firm as experts in accounting and auditing.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342"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SEC allows us to “incorporate by reference” certain information filed with or furnished to the SEC, which means that we can disclose important information to you by referring you to those documents. The information incorporated by reference is an important part of this prospectus. With respect to this prospectus, information that we later file with or furnishes to the SEC and that is incorporated by reference will automatically update and supersede information in this prospectus and information previously incorporated by reference into this prospectus. We incorporate by reference into this prospectus and the registration statement of which this prospectus is a part the information or documents listed below that we have filed with or furnished to the SEC:</w:t>
      </w:r>
    </w:p>
    <w:p>
      <w:pPr>
        <w:spacing w:after="0" w:line="232" w:lineRule="exact"/>
        <w:rPr>
          <w:sz w:val="20"/>
          <w:szCs w:val="20"/>
          <w:color w:val="auto"/>
        </w:rPr>
      </w:pPr>
    </w:p>
    <w:p>
      <w:pPr>
        <w:ind w:left="1060" w:right="40" w:hanging="424"/>
        <w:spacing w:after="0" w:line="226" w:lineRule="auto"/>
        <w:tabs>
          <w:tab w:leader="none" w:pos="1060" w:val="left"/>
        </w:tabs>
        <w:numPr>
          <w:ilvl w:val="0"/>
          <w:numId w:val="54"/>
        </w:numPr>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our report on Form 6-K filed with the SEC on February 18, 2020 (SEC Accession No. 0001193125-20-039926), which contains</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our unaudited pro forma condensed combined financial information as of June 30, 2019 and December 31, 2018 and for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year ended December 31, 2018 and the interim period ended June 30, 2019, giving effect to the Merger as if it had occurred 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January 1, 2018;</w:t>
        </w:r>
      </w:hyperlink>
    </w:p>
    <w:p>
      <w:pPr>
        <w:spacing w:after="0" w:line="1" w:lineRule="exact"/>
        <w:rPr>
          <w:rFonts w:ascii="Arial" w:cs="Arial" w:eastAsia="Arial" w:hAnsi="Arial"/>
          <w:sz w:val="18"/>
          <w:szCs w:val="18"/>
          <w:u w:val="single" w:color="auto"/>
          <w:color w:val="0000EE"/>
        </w:rPr>
      </w:pPr>
    </w:p>
    <w:p>
      <w:pPr>
        <w:ind w:left="1060" w:hanging="424"/>
        <w:spacing w:after="0" w:line="230" w:lineRule="auto"/>
        <w:tabs>
          <w:tab w:leader="none" w:pos="1060" w:val="left"/>
        </w:tabs>
        <w:numPr>
          <w:ilvl w:val="0"/>
          <w:numId w:val="54"/>
        </w:numPr>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our report on Form 6-K filed with the SEC on February 12, 2020 (SEC Accession No. 0001193125-20-032479);</w:t>
        </w:r>
      </w:hyperlink>
    </w:p>
    <w:p>
      <w:pPr>
        <w:spacing w:after="0" w:line="26" w:lineRule="exact"/>
        <w:rPr>
          <w:rFonts w:ascii="Arial" w:cs="Arial" w:eastAsia="Arial" w:hAnsi="Arial"/>
          <w:sz w:val="18"/>
          <w:szCs w:val="18"/>
          <w:u w:val="single" w:color="auto"/>
          <w:color w:val="0000EE"/>
        </w:rPr>
      </w:pPr>
    </w:p>
    <w:p>
      <w:pPr>
        <w:ind w:left="1060" w:right="240" w:hanging="424"/>
        <w:spacing w:after="0" w:line="223" w:lineRule="auto"/>
        <w:tabs>
          <w:tab w:leader="none" w:pos="1060" w:val="left"/>
        </w:tabs>
        <w:numPr>
          <w:ilvl w:val="0"/>
          <w:numId w:val="54"/>
        </w:numPr>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our report on Form 6-K filed with the SEC on September 17, 2019 (SEC Accession No. 0001193125-19-246280), which</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contains our unaudited interim consolidated financial statements as of June 30, 2019 and 2018 and for the six months ended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June 30, 2019 and 2018;</w:t>
        </w:r>
      </w:hyperlink>
    </w:p>
    <w:p>
      <w:pPr>
        <w:spacing w:after="0" w:line="28" w:lineRule="exact"/>
        <w:rPr>
          <w:rFonts w:ascii="Arial" w:cs="Arial" w:eastAsia="Arial" w:hAnsi="Arial"/>
          <w:sz w:val="18"/>
          <w:szCs w:val="18"/>
          <w:u w:val="single" w:color="auto"/>
          <w:color w:val="0000EE"/>
        </w:rPr>
      </w:pPr>
    </w:p>
    <w:p>
      <w:pPr>
        <w:ind w:left="1060" w:right="160" w:hanging="424"/>
        <w:spacing w:after="0" w:line="218" w:lineRule="auto"/>
        <w:tabs>
          <w:tab w:leader="none" w:pos="1060" w:val="left"/>
        </w:tabs>
        <w:numPr>
          <w:ilvl w:val="0"/>
          <w:numId w:val="54"/>
        </w:numPr>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our annual report on Form 20-F for the year ended December 31, 2018, filed with the SEC on April 29, 2019 and amended on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May 29, 2019 (File No. 001-38452);</w:t>
        </w:r>
      </w:hyperlink>
    </w:p>
    <w:p>
      <w:pPr>
        <w:spacing w:after="0" w:line="27" w:lineRule="exact"/>
        <w:rPr>
          <w:rFonts w:ascii="Arial" w:cs="Arial" w:eastAsia="Arial" w:hAnsi="Arial"/>
          <w:sz w:val="18"/>
          <w:szCs w:val="18"/>
          <w:u w:val="single" w:color="auto"/>
          <w:color w:val="0000EE"/>
        </w:rPr>
      </w:pPr>
    </w:p>
    <w:p>
      <w:pPr>
        <w:ind w:left="1060" w:right="480" w:hanging="424"/>
        <w:spacing w:after="0" w:line="218" w:lineRule="auto"/>
        <w:tabs>
          <w:tab w:leader="none" w:pos="1060" w:val="left"/>
        </w:tabs>
        <w:numPr>
          <w:ilvl w:val="0"/>
          <w:numId w:val="54"/>
        </w:numPr>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OncoMed’s annual report on Form 10-K for the year ended December 31, 2018, filed with the SEC on March 7, 2019 (File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No. 001-35993); and</w:t>
        </w:r>
      </w:hyperlink>
    </w:p>
    <w:p>
      <w:pPr>
        <w:spacing w:after="0" w:line="27" w:lineRule="exact"/>
        <w:rPr>
          <w:rFonts w:ascii="Arial" w:cs="Arial" w:eastAsia="Arial" w:hAnsi="Arial"/>
          <w:sz w:val="18"/>
          <w:szCs w:val="18"/>
          <w:u w:val="single" w:color="auto"/>
          <w:color w:val="0000EE"/>
        </w:rPr>
      </w:pPr>
    </w:p>
    <w:p>
      <w:pPr>
        <w:ind w:left="1060" w:right="140" w:hanging="424"/>
        <w:spacing w:after="0" w:line="223" w:lineRule="auto"/>
        <w:tabs>
          <w:tab w:leader="none" w:pos="1060" w:val="left"/>
        </w:tabs>
        <w:numPr>
          <w:ilvl w:val="0"/>
          <w:numId w:val="54"/>
        </w:numPr>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the description of our ordinary shares and ADSs contained in our registration statement on Form 8-A, as filed with the SEC</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under Section 12(b) of the Exchange Act on April 9, 2018, including any amendment or report filed for the purpose of updating</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such description (File No. 001-38452).</w:t>
        </w:r>
      </w:hyperlink>
    </w:p>
    <w:p>
      <w:pPr>
        <w:spacing w:after="0" w:line="204" w:lineRule="exact"/>
        <w:rPr>
          <w:rFonts w:ascii="Arial" w:cs="Arial" w:eastAsia="Arial" w:hAnsi="Arial"/>
          <w:sz w:val="18"/>
          <w:szCs w:val="18"/>
          <w:u w:val="single" w:color="auto"/>
          <w:color w:val="0000EE"/>
        </w:rPr>
      </w:pPr>
    </w:p>
    <w:p>
      <w:pPr>
        <w:ind w:left="200" w:firstLine="441"/>
        <w:spacing w:after="0" w:line="237" w:lineRule="auto"/>
        <w:rPr>
          <w:sz w:val="20"/>
          <w:szCs w:val="20"/>
          <w:color w:val="auto"/>
        </w:rPr>
      </w:pPr>
      <w:r>
        <w:rPr>
          <w:rFonts w:ascii="Arial" w:cs="Arial" w:eastAsia="Arial" w:hAnsi="Arial"/>
          <w:sz w:val="18"/>
          <w:szCs w:val="18"/>
          <w:color w:val="auto"/>
        </w:rPr>
        <w:t>Each document incorporated by reference into this prospectus is current only as of the date of such document, and the incorporation by reference of such document is not intended to create any implication that there has been no change in the affairs of Mereo or OncoMed since the date of the relevant document or that the information contained in such document is current as of any time subsequent to its date. Any statement contained in such incorporated documents is deemed to be modified or superseded for the purpose of this prospectus to the extent that a subsequent statement contained herein in another document that is incorporated by reference into this prospectus at a later date modifies or supersedes that statement. Any such statement so modified or superseded will not be deemed, except as so modified or superseded, to constitute a part of this prospectus.</w:t>
      </w:r>
    </w:p>
    <w:p>
      <w:pPr>
        <w:spacing w:after="0" w:line="203" w:lineRule="exact"/>
        <w:rPr>
          <w:rFonts w:ascii="Arial" w:cs="Arial" w:eastAsia="Arial" w:hAnsi="Arial"/>
          <w:sz w:val="18"/>
          <w:szCs w:val="18"/>
          <w:u w:val="single" w:color="auto"/>
          <w:color w:val="0000EE"/>
        </w:rPr>
      </w:pPr>
    </w:p>
    <w:p>
      <w:pPr>
        <w:ind w:left="640"/>
        <w:spacing w:after="0"/>
        <w:rPr>
          <w:sz w:val="20"/>
          <w:szCs w:val="20"/>
          <w:color w:val="auto"/>
        </w:rPr>
      </w:pPr>
      <w:r>
        <w:rPr>
          <w:rFonts w:ascii="Arial" w:cs="Arial" w:eastAsia="Arial" w:hAnsi="Arial"/>
          <w:sz w:val="18"/>
          <w:szCs w:val="18"/>
          <w:color w:val="auto"/>
        </w:rPr>
        <w:t>You may obtain copies of these documents in the manner described under “Where You Can Find More Information.”</w:t>
      </w:r>
    </w:p>
    <w:p>
      <w:pPr>
        <w:spacing w:after="0" w:line="144" w:lineRule="exact"/>
        <w:rPr>
          <w:rFonts w:ascii="Arial" w:cs="Arial" w:eastAsia="Arial" w:hAnsi="Arial"/>
          <w:sz w:val="18"/>
          <w:szCs w:val="18"/>
          <w:u w:val="single" w:color="auto"/>
          <w:color w:val="0000EE"/>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1060" w:right="60" w:hanging="424"/>
        <w:spacing w:after="0" w:line="218"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1060" w:right="320" w:hanging="424"/>
        <w:spacing w:after="0" w:line="218" w:lineRule="auto"/>
        <w:tabs>
          <w:tab w:leader="none" w:pos="10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1060" w:right="60" w:hanging="424"/>
        <w:spacing w:after="0" w:line="223"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1060" w:right="60" w:hanging="424"/>
        <w:spacing w:after="0" w:line="218"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1060" w:right="680" w:hanging="424"/>
        <w:spacing w:after="0" w:line="218"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1060" w:right="480" w:hanging="424"/>
        <w:spacing w:after="0" w:line="218"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1060" w:right="220" w:hanging="424"/>
        <w:spacing w:after="0" w:line="218"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1060" w:right="100" w:hanging="424"/>
        <w:spacing w:after="0" w:line="226" w:lineRule="auto"/>
        <w:tabs>
          <w:tab w:leader="none" w:pos="10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120" w:hanging="424"/>
        <w:spacing w:after="0" w:line="218" w:lineRule="auto"/>
        <w:tabs>
          <w:tab w:leader="none" w:pos="10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3"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We will provide to each person, including any beneficial owner, to whom a prospectus is delivered, a copy of any or all of the reports or documents that have been incorporated by reference into this prospectus but not delivered with this prospectus. We will provide these reports or documents upon written or oral request at no cost to the requester. Requests for these reports or documents should be addressed to Mereo BioPharma Group plc, Fourth Floor, One Cavendish Place, London, W1G 0QF, United Kingdom or by calling +44 33 3023 7300. In addition, these reports or documents may be accessed on the SEC’s website at www.sec.gov.</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17,902,082 American Depositary Shares</w:t>
      </w:r>
    </w:p>
    <w:p>
      <w:pPr>
        <w:spacing w:after="0" w:line="42"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2603500</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657225</wp:posOffset>
            </wp:positionV>
            <wp:extent cx="2470150" cy="900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PRELIMINARY</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1764665</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699770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2"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2"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2" w:lineRule="exact"/>
        <w:rPr>
          <w:sz w:val="20"/>
          <w:szCs w:val="20"/>
          <w:color w:val="auto"/>
        </w:rPr>
      </w:pPr>
    </w:p>
    <w:p>
      <w:pPr>
        <w:ind w:left="200" w:right="360" w:firstLine="441"/>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85"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In the three years preceding the filing of this registration statement, the Company has issued the following securities that were not registered under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Share Capital</w:t>
      </w:r>
    </w:p>
    <w:p>
      <w:pPr>
        <w:spacing w:after="0" w:line="261" w:lineRule="exact"/>
        <w:rPr>
          <w:sz w:val="20"/>
          <w:szCs w:val="20"/>
          <w:color w:val="auto"/>
        </w:rPr>
      </w:pPr>
    </w:p>
    <w:p>
      <w:pPr>
        <w:ind w:left="1060" w:right="220" w:hanging="424"/>
        <w:spacing w:after="0" w:line="218"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3, 2017, the registrant issued 5,042,017 ordinary shares of nominal value £0.003 each to new and existing investors for aggregate consideration of £15.0 million.</w:t>
      </w:r>
    </w:p>
    <w:p>
      <w:pPr>
        <w:spacing w:after="0" w:line="27" w:lineRule="exact"/>
        <w:rPr>
          <w:rFonts w:ascii="MS PGothic" w:cs="MS PGothic" w:eastAsia="MS PGothic" w:hAnsi="MS PGothic"/>
          <w:sz w:val="25"/>
          <w:szCs w:val="25"/>
          <w:color w:val="auto"/>
          <w:vertAlign w:val="superscript"/>
        </w:rPr>
      </w:pPr>
    </w:p>
    <w:p>
      <w:pPr>
        <w:ind w:left="1060" w:right="620" w:hanging="424"/>
        <w:spacing w:after="0" w:line="218"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26, 2017, the registrant issued 1,221,361 ordinary shares of nominal value £0.003 each upon the conversion of £1.4 million of Novartis Notes (as defined below).</w:t>
      </w:r>
    </w:p>
    <w:p>
      <w:pPr>
        <w:spacing w:after="0" w:line="27" w:lineRule="exact"/>
        <w:rPr>
          <w:rFonts w:ascii="MS PGothic" w:cs="MS PGothic" w:eastAsia="MS PGothic" w:hAnsi="MS PGothic"/>
          <w:sz w:val="25"/>
          <w:szCs w:val="25"/>
          <w:color w:val="auto"/>
          <w:vertAlign w:val="superscript"/>
        </w:rPr>
      </w:pPr>
    </w:p>
    <w:p>
      <w:pPr>
        <w:ind w:left="1060" w:right="760" w:hanging="424"/>
        <w:spacing w:after="0" w:line="218"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31, 2017, the registrant issued 490,798 ordinary shares of nominal value £0.003 each to a new investor in connection with a licensing agreement.</w:t>
      </w:r>
    </w:p>
    <w:p>
      <w:pPr>
        <w:spacing w:after="0" w:line="27" w:lineRule="exact"/>
        <w:rPr>
          <w:rFonts w:ascii="MS PGothic" w:cs="MS PGothic" w:eastAsia="MS PGothic" w:hAnsi="MS PGothic"/>
          <w:sz w:val="25"/>
          <w:szCs w:val="25"/>
          <w:color w:val="auto"/>
          <w:vertAlign w:val="superscript"/>
        </w:rPr>
      </w:pPr>
    </w:p>
    <w:p>
      <w:pPr>
        <w:ind w:left="1060" w:right="180" w:hanging="424"/>
        <w:spacing w:after="0" w:line="218"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1, 2018, the registrant issued 50,076 ordinary shares of nominal value £0.003 each to new and existing investors for aggregate consideration of £150,228.</w:t>
      </w:r>
    </w:p>
    <w:p>
      <w:pPr>
        <w:spacing w:after="0" w:line="27" w:lineRule="exact"/>
        <w:rPr>
          <w:rFonts w:ascii="MS PGothic" w:cs="MS PGothic" w:eastAsia="MS PGothic" w:hAnsi="MS PGothic"/>
          <w:sz w:val="25"/>
          <w:szCs w:val="25"/>
          <w:color w:val="auto"/>
          <w:vertAlign w:val="superscript"/>
        </w:rPr>
      </w:pPr>
    </w:p>
    <w:p>
      <w:pPr>
        <w:ind w:left="1060" w:hanging="424"/>
        <w:spacing w:after="0" w:line="218"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23, 2018, the registrant issued 10,000 ordinary shares of nominal value £0.003 each to certain former employees of the registrant upon the exercise of share options.</w:t>
      </w:r>
    </w:p>
    <w:p>
      <w:pPr>
        <w:spacing w:after="0" w:line="27" w:lineRule="exact"/>
        <w:rPr>
          <w:rFonts w:ascii="MS PGothic" w:cs="MS PGothic" w:eastAsia="MS PGothic" w:hAnsi="MS PGothic"/>
          <w:sz w:val="25"/>
          <w:szCs w:val="25"/>
          <w:color w:val="auto"/>
          <w:vertAlign w:val="superscript"/>
        </w:rPr>
      </w:pPr>
    </w:p>
    <w:p>
      <w:pPr>
        <w:ind w:left="1060" w:right="340" w:hanging="424"/>
        <w:spacing w:after="0" w:line="218" w:lineRule="auto"/>
        <w:tabs>
          <w:tab w:leader="none" w:pos="10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Under the public offering dated June 1, 2018, the registrant issued and allotted 50,076 ordinary shares of £0.003 in nominal value each on June 1, 2018 at a price of £3.00 per share to investors. Gross cash received was £150,228.</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right="260" w:hanging="424"/>
        <w:spacing w:after="0" w:line="218"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August 3, 2018, the registrant issued and allotted 10,000 ordinary shares of £0.003 in nominal value each pursuant to an exercise of employee share options.</w:t>
      </w:r>
    </w:p>
    <w:p>
      <w:pPr>
        <w:spacing w:after="0" w:line="27" w:lineRule="exact"/>
        <w:rPr>
          <w:rFonts w:ascii="MS PGothic" w:cs="MS PGothic" w:eastAsia="MS PGothic" w:hAnsi="MS PGothic"/>
          <w:sz w:val="25"/>
          <w:szCs w:val="25"/>
          <w:color w:val="auto"/>
          <w:vertAlign w:val="superscript"/>
        </w:rPr>
      </w:pPr>
    </w:p>
    <w:p>
      <w:pPr>
        <w:ind w:left="1060" w:right="80" w:hanging="424"/>
        <w:spacing w:after="0" w:line="218"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22, 2018, the registrant issued and allotted 85,222 ordinary shares of £0.003 in nominal value each pursuant to an exercise of employee share options.</w:t>
      </w:r>
    </w:p>
    <w:p>
      <w:pPr>
        <w:spacing w:after="0" w:line="27" w:lineRule="exact"/>
        <w:rPr>
          <w:rFonts w:ascii="MS PGothic" w:cs="MS PGothic" w:eastAsia="MS PGothic" w:hAnsi="MS PGothic"/>
          <w:sz w:val="25"/>
          <w:szCs w:val="25"/>
          <w:color w:val="auto"/>
          <w:vertAlign w:val="superscript"/>
        </w:rPr>
      </w:pPr>
    </w:p>
    <w:p>
      <w:pPr>
        <w:ind w:left="1060" w:right="400" w:hanging="424"/>
        <w:spacing w:after="0" w:line="218"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21, 2019, the registrant issued 1,936,030 ordinary shares of £0.003 in nominal value each upon the conversion of £2.4 million of Novartis Notes.</w:t>
      </w:r>
    </w:p>
    <w:p>
      <w:pPr>
        <w:spacing w:after="0" w:line="27" w:lineRule="exact"/>
        <w:rPr>
          <w:rFonts w:ascii="MS PGothic" w:cs="MS PGothic" w:eastAsia="MS PGothic" w:hAnsi="MS PGothic"/>
          <w:sz w:val="25"/>
          <w:szCs w:val="25"/>
          <w:color w:val="auto"/>
          <w:vertAlign w:val="superscript"/>
        </w:rPr>
      </w:pPr>
    </w:p>
    <w:p>
      <w:pPr>
        <w:ind w:left="1060" w:hanging="424"/>
        <w:spacing w:after="0" w:line="218"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10, 2020, the registrant issued warrants to purchase 1,449,614 ordinary shares of £0.003 in nominal value each to existing investors in connection with the New Novartis Notes.</w:t>
      </w:r>
    </w:p>
    <w:p>
      <w:pPr>
        <w:spacing w:after="0" w:line="27" w:lineRule="exact"/>
        <w:rPr>
          <w:rFonts w:ascii="MS PGothic" w:cs="MS PGothic" w:eastAsia="MS PGothic" w:hAnsi="MS PGothic"/>
          <w:sz w:val="25"/>
          <w:szCs w:val="25"/>
          <w:color w:val="auto"/>
          <w:vertAlign w:val="superscript"/>
        </w:rPr>
      </w:pPr>
    </w:p>
    <w:p>
      <w:pPr>
        <w:ind w:left="1060" w:right="200" w:hanging="424"/>
        <w:spacing w:after="0" w:line="218" w:lineRule="auto"/>
        <w:tabs>
          <w:tab w:leader="none" w:pos="10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February 10, 2020, the registrant issued 14,295,520 ordinary shares (equivalent to 2,859,104 ADSs) of £0.003 in nominal value each to the selling shareholder for $3.0 million.</w:t>
      </w:r>
    </w:p>
    <w:p>
      <w:pPr>
        <w:spacing w:after="0" w:line="203" w:lineRule="exact"/>
        <w:rPr>
          <w:sz w:val="20"/>
          <w:szCs w:val="20"/>
          <w:color w:val="auto"/>
        </w:rPr>
      </w:pPr>
    </w:p>
    <w:p>
      <w:pPr>
        <w:ind w:left="200" w:right="300" w:firstLine="441"/>
        <w:spacing w:after="0" w:line="239" w:lineRule="auto"/>
        <w:rPr>
          <w:sz w:val="20"/>
          <w:szCs w:val="20"/>
          <w:color w:val="auto"/>
        </w:rPr>
      </w:pPr>
      <w:r>
        <w:rPr>
          <w:rFonts w:ascii="Arial" w:cs="Arial" w:eastAsia="Arial" w:hAnsi="Arial"/>
          <w:sz w:val="18"/>
          <w:szCs w:val="18"/>
          <w:color w:val="auto"/>
        </w:rPr>
        <w:t>No underwriters were used in the foregoing transactions. The sales of securities described above were made in reliance upon the exemptions from registration provided by Regulation S under the Securities Act, Rule 144A under the Securities Act (before the Registrant’s ADSs became listed on Nasdaq) and/or Section 4(a)(2) of the Securities Act (including Regulation D promulgated thereunder). All of the foregoing securities are deemed restricted securities for the purposes of the Securities Act.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Grants and Exercises of Options and Restricted Share Awards</w:t>
      </w:r>
    </w:p>
    <w:p>
      <w:pPr>
        <w:spacing w:after="0" w:line="99"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On April 26, 2018, the Company granted 100,817 options under the Deferred Bonus Share Plan to certain directors and certain other persons discharging managerial responsibility. The weighted average fair value of options granted was £3.23. The exercise price is £nil.</w:t>
      </w:r>
    </w:p>
    <w:p>
      <w:pPr>
        <w:spacing w:after="0" w:line="197"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On May 2, 2018, the Company granted 303,000 options to certain employees under the Mereo BioPharma Group plc Share Option Plan. The weighted average fair value of options granted was £2.38. The exercise price is £3.25.</w:t>
      </w:r>
    </w:p>
    <w:p>
      <w:pPr>
        <w:spacing w:after="0" w:line="197" w:lineRule="exact"/>
        <w:rPr>
          <w:sz w:val="20"/>
          <w:szCs w:val="20"/>
          <w:color w:val="auto"/>
        </w:rPr>
      </w:pPr>
    </w:p>
    <w:p>
      <w:pPr>
        <w:ind w:left="200" w:right="360" w:firstLine="441"/>
        <w:spacing w:after="0" w:line="261" w:lineRule="auto"/>
        <w:rPr>
          <w:sz w:val="20"/>
          <w:szCs w:val="20"/>
          <w:color w:val="auto"/>
        </w:rPr>
      </w:pPr>
      <w:r>
        <w:rPr>
          <w:rFonts w:ascii="Arial" w:cs="Arial" w:eastAsia="Arial" w:hAnsi="Arial"/>
          <w:sz w:val="17"/>
          <w:szCs w:val="17"/>
          <w:color w:val="auto"/>
        </w:rPr>
        <w:t>The issuances of the securities described above were deemed to be exempt from registration pursuant to Section 4(a)(2) of the Securities Act or Rule 701 promulgated under the Securities Act as transactions pursuant to compensatory benefit plans. The ordinary shares and ADSs issued upon the exercise of options are deemed to be restricted securities for purposes of the Securities Act.</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85"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On April 6, 2017, Novartis delivered to the Company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the Company issued 588,532 ordinary shares to Novartis.</w:t>
      </w:r>
    </w:p>
    <w:p>
      <w:pPr>
        <w:spacing w:after="0" w:line="202"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On June 6, 2019, Novartis delivered to the Company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the Company issued 864,988 ordinary shares to Novartis. At June 30, 2019 there was no further liability under the Novartis Notes which were converted in full as at that date.</w:t>
      </w:r>
    </w:p>
    <w:p>
      <w:pPr>
        <w:spacing w:after="0" w:line="203"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On February 10, 2020, the Company entered into a convertible loan note instrument relating to the issue of 3,841,479 New Novartis Notes to Novartis. The New Novartis Notes are convertible at any time at a fixed price of £0.265 per ordinary share.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w:t>
      </w:r>
    </w:p>
    <w:p>
      <w:pPr>
        <w:spacing w:after="0" w:line="99"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registrant has issued the following warrants under the Original Loan Agreement and the New Loan Agreement (each as defined in this registration statement) to Silicon Valley Bank or Kreos Capital V (UK) Limited, as the case may be.</w:t>
      </w:r>
    </w:p>
    <w:p>
      <w:pPr>
        <w:spacing w:after="0" w:line="188" w:lineRule="exact"/>
        <w:rPr>
          <w:sz w:val="20"/>
          <w:szCs w:val="20"/>
          <w:color w:val="auto"/>
        </w:rPr>
      </w:pPr>
    </w:p>
    <w:p>
      <w:pPr>
        <w:ind w:left="1060" w:hanging="424"/>
        <w:spacing w:after="0"/>
        <w:tabs>
          <w:tab w:leader="none" w:pos="10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August 21, 2017, the registrant issued warrants to purchase 363,156 ordinary shares at an exercise price of £3.029 each.</w:t>
      </w:r>
    </w:p>
    <w:p>
      <w:pPr>
        <w:spacing w:after="0" w:line="26" w:lineRule="exact"/>
        <w:rPr>
          <w:rFonts w:ascii="MS PGothic" w:cs="MS PGothic" w:eastAsia="MS PGothic" w:hAnsi="MS PGothic"/>
          <w:sz w:val="25"/>
          <w:szCs w:val="25"/>
          <w:color w:val="auto"/>
          <w:vertAlign w:val="superscript"/>
        </w:rPr>
      </w:pPr>
    </w:p>
    <w:p>
      <w:pPr>
        <w:ind w:left="1060" w:right="420" w:hanging="424"/>
        <w:spacing w:after="0" w:line="218" w:lineRule="auto"/>
        <w:tabs>
          <w:tab w:leader="none" w:pos="10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December 29, 2017, the registrant issued warrants to purchase 333,334 ordinary shares at an exercise price of £3.300 each.</w:t>
      </w:r>
    </w:p>
    <w:p>
      <w:pPr>
        <w:spacing w:after="0" w:line="1" w:lineRule="exact"/>
        <w:rPr>
          <w:rFonts w:ascii="MS PGothic" w:cs="MS PGothic" w:eastAsia="MS PGothic" w:hAnsi="MS PGothic"/>
          <w:sz w:val="25"/>
          <w:szCs w:val="25"/>
          <w:color w:val="auto"/>
          <w:vertAlign w:val="superscript"/>
        </w:rPr>
      </w:pPr>
    </w:p>
    <w:p>
      <w:pPr>
        <w:ind w:left="1060" w:hanging="424"/>
        <w:spacing w:after="0" w:line="230" w:lineRule="auto"/>
        <w:tabs>
          <w:tab w:leader="none" w:pos="10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1, 2018, the registrant issued warrants to purchase 225,974 ordinary shares at an exercise price of £2.31 each.</w:t>
      </w:r>
    </w:p>
    <w:p>
      <w:pPr>
        <w:spacing w:after="0" w:line="26" w:lineRule="exact"/>
        <w:rPr>
          <w:rFonts w:ascii="MS PGothic" w:cs="MS PGothic" w:eastAsia="MS PGothic" w:hAnsi="MS PGothic"/>
          <w:sz w:val="25"/>
          <w:szCs w:val="25"/>
          <w:color w:val="auto"/>
          <w:vertAlign w:val="superscript"/>
        </w:rPr>
      </w:pPr>
    </w:p>
    <w:p>
      <w:pPr>
        <w:ind w:left="1060" w:hanging="424"/>
        <w:spacing w:after="0" w:line="205" w:lineRule="auto"/>
        <w:tabs>
          <w:tab w:leader="none" w:pos="10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May 7, 2019, the registrant issued warrants to purchase 321,444 ordinary shares at an exercise price of £2.95 each.</w:t>
      </w:r>
    </w:p>
    <w:p>
      <w:pPr>
        <w:spacing w:after="0" w:line="203"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In addition, on October 8, 2018, the registrant issued warrants to purchase 41,286 ordinary shares at an exercise price of £0.03 each to The Alpha-1 Project, Inc. in connection with the funding agreement entered into with such entity.</w:t>
      </w:r>
    </w:p>
    <w:p>
      <w:pPr>
        <w:spacing w:after="0" w:line="197"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In addition, on February 10, 2020, the Company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02" w:lineRule="exact"/>
        <w:rPr>
          <w:sz w:val="20"/>
          <w:szCs w:val="20"/>
          <w:color w:val="auto"/>
        </w:rPr>
      </w:pPr>
    </w:p>
    <w:p>
      <w:pPr>
        <w:ind w:left="200" w:right="600" w:firstLine="441"/>
        <w:spacing w:after="0" w:line="246"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12" w:lineRule="exact"/>
        <w:rPr>
          <w:sz w:val="20"/>
          <w:szCs w:val="20"/>
          <w:color w:val="auto"/>
        </w:rPr>
      </w:pPr>
    </w:p>
    <w:p>
      <w:pPr>
        <w:ind w:left="200" w:right="20" w:firstLine="444"/>
        <w:spacing w:after="0" w:line="271" w:lineRule="auto"/>
        <w:tabs>
          <w:tab w:leader="none" w:pos="911"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200" w:right="120" w:firstLine="444"/>
        <w:spacing w:after="0" w:line="271" w:lineRule="auto"/>
        <w:tabs>
          <w:tab w:leader="none" w:pos="911"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520" w:right="780" w:hanging="438"/>
        <w:spacing w:after="0" w:line="246" w:lineRule="auto"/>
        <w:tabs>
          <w:tab w:leader="none" w:pos="15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940" w:hanging="426"/>
        <w:spacing w:after="0"/>
        <w:tabs>
          <w:tab w:leader="none" w:pos="19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36" w:lineRule="exact"/>
        <w:rPr>
          <w:rFonts w:ascii="Arial" w:cs="Arial" w:eastAsia="Arial" w:hAnsi="Arial"/>
          <w:sz w:val="18"/>
          <w:szCs w:val="18"/>
          <w:color w:val="auto"/>
        </w:rPr>
      </w:pPr>
    </w:p>
    <w:p>
      <w:pPr>
        <w:ind w:left="1940" w:right="300" w:hanging="426"/>
        <w:spacing w:after="0" w:line="253" w:lineRule="auto"/>
        <w:tabs>
          <w:tab w:leader="none" w:pos="1940" w:val="left"/>
        </w:tabs>
        <w:numPr>
          <w:ilvl w:val="2"/>
          <w:numId w:val="6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960" w:right="60"/>
        <w:spacing w:after="0" w:line="273" w:lineRule="auto"/>
        <w:rPr>
          <w:sz w:val="20"/>
          <w:szCs w:val="20"/>
          <w:color w:val="auto"/>
        </w:rPr>
      </w:pPr>
      <w:r>
        <w:rPr>
          <w:rFonts w:ascii="Arial" w:cs="Arial" w:eastAsia="Arial" w:hAnsi="Arial"/>
          <w:sz w:val="17"/>
          <w:szCs w:val="17"/>
          <w:color w:val="auto"/>
        </w:rPr>
        <w:t>chapter) if, in the aggregate, the changes in volume and price represent no more than 20% change in the maximum aggregate offering price set forth in the “Calculation of Registration Fee” table in the effective registration statement.</w:t>
      </w:r>
    </w:p>
    <w:p>
      <w:pPr>
        <w:spacing w:after="0" w:line="1" w:lineRule="exact"/>
        <w:rPr>
          <w:sz w:val="20"/>
          <w:szCs w:val="20"/>
          <w:color w:val="auto"/>
        </w:rPr>
      </w:pPr>
    </w:p>
    <w:p>
      <w:pPr>
        <w:ind w:left="1940" w:right="80" w:hanging="426"/>
        <w:spacing w:after="0" w:line="246" w:lineRule="auto"/>
        <w:tabs>
          <w:tab w:leader="none" w:pos="1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 w:lineRule="exact"/>
        <w:rPr>
          <w:rFonts w:ascii="Arial" w:cs="Arial" w:eastAsia="Arial" w:hAnsi="Arial"/>
          <w:sz w:val="18"/>
          <w:szCs w:val="18"/>
          <w:color w:val="auto"/>
        </w:rPr>
      </w:pPr>
    </w:p>
    <w:p>
      <w:pPr>
        <w:ind w:left="1940" w:right="40"/>
        <w:spacing w:after="0" w:line="238" w:lineRule="auto"/>
        <w:rPr>
          <w:rFonts w:ascii="Arial" w:cs="Arial" w:eastAsia="Arial" w:hAnsi="Arial"/>
          <w:sz w:val="18"/>
          <w:szCs w:val="18"/>
          <w:color w:val="auto"/>
        </w:rPr>
      </w:pPr>
      <w:r>
        <w:rPr>
          <w:rFonts w:ascii="Arial" w:cs="Arial" w:eastAsia="Arial" w:hAnsi="Arial"/>
          <w:sz w:val="18"/>
          <w:szCs w:val="18"/>
          <w:color w:val="auto"/>
        </w:rPr>
        <w:t>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8" w:lineRule="exact"/>
        <w:rPr>
          <w:rFonts w:ascii="Arial" w:cs="Arial" w:eastAsia="Arial" w:hAnsi="Arial"/>
          <w:sz w:val="18"/>
          <w:szCs w:val="18"/>
          <w:color w:val="auto"/>
        </w:rPr>
      </w:pPr>
    </w:p>
    <w:p>
      <w:pPr>
        <w:ind w:left="1520" w:right="260" w:hanging="438"/>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7" w:lineRule="exact"/>
        <w:rPr>
          <w:rFonts w:ascii="Arial" w:cs="Arial" w:eastAsia="Arial" w:hAnsi="Arial"/>
          <w:sz w:val="18"/>
          <w:szCs w:val="18"/>
          <w:color w:val="auto"/>
        </w:rPr>
      </w:pPr>
    </w:p>
    <w:p>
      <w:pPr>
        <w:ind w:left="1520" w:right="120" w:hanging="438"/>
        <w:spacing w:after="0" w:line="246" w:lineRule="auto"/>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 w:lineRule="exact"/>
        <w:rPr>
          <w:rFonts w:ascii="Arial" w:cs="Arial" w:eastAsia="Arial" w:hAnsi="Arial"/>
          <w:sz w:val="18"/>
          <w:szCs w:val="18"/>
          <w:color w:val="auto"/>
        </w:rPr>
      </w:pPr>
    </w:p>
    <w:p>
      <w:pPr>
        <w:ind w:left="1520" w:right="20" w:hanging="438"/>
        <w:spacing w:after="0" w:line="237" w:lineRule="auto"/>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9" w:lineRule="exact"/>
        <w:rPr>
          <w:rFonts w:ascii="Arial" w:cs="Arial" w:eastAsia="Arial" w:hAnsi="Arial"/>
          <w:sz w:val="18"/>
          <w:szCs w:val="18"/>
          <w:color w:val="auto"/>
        </w:rPr>
      </w:pPr>
    </w:p>
    <w:p>
      <w:pPr>
        <w:ind w:left="1520" w:hanging="438"/>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940" w:hanging="426"/>
        <w:spacing w:after="0"/>
        <w:tabs>
          <w:tab w:leader="none" w:pos="19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400" w:right="220" w:hanging="440"/>
        <w:spacing w:after="0"/>
        <w:tabs>
          <w:tab w:leader="none" w:pos="24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7" w:lineRule="exact"/>
        <w:rPr>
          <w:rFonts w:ascii="Arial" w:cs="Arial" w:eastAsia="Arial" w:hAnsi="Arial"/>
          <w:sz w:val="18"/>
          <w:szCs w:val="18"/>
          <w:color w:val="auto"/>
        </w:rPr>
      </w:pPr>
    </w:p>
    <w:p>
      <w:pPr>
        <w:ind w:left="2400" w:hanging="440"/>
        <w:spacing w:after="0" w:line="236" w:lineRule="auto"/>
        <w:tabs>
          <w:tab w:leader="none" w:pos="24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400" w:right="620"/>
        <w:spacing w:after="0" w:line="246" w:lineRule="auto"/>
        <w:rPr>
          <w:sz w:val="20"/>
          <w:szCs w:val="20"/>
          <w:color w:val="auto"/>
        </w:rPr>
      </w:pPr>
      <w:r>
        <w:rPr>
          <w:rFonts w:ascii="Arial" w:cs="Arial" w:eastAsia="Arial" w:hAnsi="Arial"/>
          <w:sz w:val="18"/>
          <w:szCs w:val="18"/>
          <w:color w:val="auto"/>
        </w:rPr>
        <w:t>the registration statement or prospectus that was part of the registration statement or made in any such document immediately prior to such effective date; or</w:t>
      </w:r>
    </w:p>
    <w:p>
      <w:pPr>
        <w:spacing w:after="0" w:line="21" w:lineRule="exact"/>
        <w:rPr>
          <w:sz w:val="20"/>
          <w:szCs w:val="20"/>
          <w:color w:val="auto"/>
        </w:rPr>
      </w:pPr>
    </w:p>
    <w:p>
      <w:pPr>
        <w:ind w:left="1940" w:right="20" w:hanging="426"/>
        <w:spacing w:after="0" w:line="236" w:lineRule="auto"/>
        <w:tabs>
          <w:tab w:leader="none" w:pos="1940" w:val="left"/>
        </w:tabs>
        <w:numPr>
          <w:ilvl w:val="2"/>
          <w:numId w:val="65"/>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8"/>
          <w:szCs w:val="18"/>
          <w:color w:val="auto"/>
        </w:rPr>
      </w:pPr>
    </w:p>
    <w:p>
      <w:pPr>
        <w:ind w:left="1520" w:hanging="438"/>
        <w:spacing w:after="0" w:line="246" w:lineRule="auto"/>
        <w:tabs>
          <w:tab w:leader="none" w:pos="1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21" w:lineRule="exact"/>
        <w:rPr>
          <w:rFonts w:ascii="Arial" w:cs="Arial" w:eastAsia="Arial" w:hAnsi="Arial"/>
          <w:sz w:val="18"/>
          <w:szCs w:val="18"/>
          <w:color w:val="auto"/>
        </w:rPr>
      </w:pPr>
    </w:p>
    <w:p>
      <w:pPr>
        <w:ind w:left="1520" w:right="320"/>
        <w:spacing w:after="0" w:line="23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Arial" w:cs="Arial" w:eastAsia="Arial" w:hAnsi="Arial"/>
          <w:sz w:val="18"/>
          <w:szCs w:val="18"/>
          <w:color w:val="auto"/>
        </w:rPr>
      </w:pPr>
    </w:p>
    <w:p>
      <w:pPr>
        <w:ind w:left="1940" w:right="300" w:hanging="426"/>
        <w:spacing w:after="0" w:line="246" w:lineRule="auto"/>
        <w:tabs>
          <w:tab w:leader="none" w:pos="19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1" w:lineRule="exact"/>
        <w:rPr>
          <w:rFonts w:ascii="Arial" w:cs="Arial" w:eastAsia="Arial" w:hAnsi="Arial"/>
          <w:sz w:val="18"/>
          <w:szCs w:val="18"/>
          <w:color w:val="auto"/>
        </w:rPr>
      </w:pPr>
    </w:p>
    <w:p>
      <w:pPr>
        <w:ind w:left="1940" w:right="100" w:hanging="426"/>
        <w:spacing w:after="0" w:line="246" w:lineRule="auto"/>
        <w:tabs>
          <w:tab w:leader="none" w:pos="19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 w:lineRule="exact"/>
        <w:rPr>
          <w:rFonts w:ascii="Arial" w:cs="Arial" w:eastAsia="Arial" w:hAnsi="Arial"/>
          <w:sz w:val="18"/>
          <w:szCs w:val="18"/>
          <w:color w:val="auto"/>
        </w:rPr>
      </w:pPr>
    </w:p>
    <w:p>
      <w:pPr>
        <w:ind w:left="1940" w:right="420" w:hanging="426"/>
        <w:spacing w:after="0" w:line="246" w:lineRule="auto"/>
        <w:tabs>
          <w:tab w:leader="none" w:pos="19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 w:lineRule="exact"/>
        <w:rPr>
          <w:rFonts w:ascii="Arial" w:cs="Arial" w:eastAsia="Arial" w:hAnsi="Arial"/>
          <w:sz w:val="18"/>
          <w:szCs w:val="18"/>
          <w:color w:val="auto"/>
        </w:rPr>
      </w:pPr>
    </w:p>
    <w:p>
      <w:pPr>
        <w:ind w:left="1940" w:hanging="426"/>
        <w:spacing w:after="0"/>
        <w:tabs>
          <w:tab w:leader="none" w:pos="19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1060" w:right="140" w:hanging="424"/>
        <w:spacing w:after="0" w:line="23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16"/>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gridSpan w:val="16"/>
          </w:tcPr>
          <w:p>
            <w:pPr>
              <w:ind w:left="9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40" w:type="dxa"/>
            <w:vAlign w:val="bottom"/>
          </w:tcPr>
          <w:p>
            <w:pPr>
              <w:jc w:val="right"/>
              <w:ind w:right="119"/>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640" w:type="dxa"/>
            <w:vAlign w:val="bottom"/>
            <w:tcBorders>
              <w:bottom w:val="single" w:sz="8" w:color="0000EE"/>
            </w:tcBorders>
            <w:gridSpan w:val="17"/>
          </w:tcPr>
          <w:p>
            <w:pPr>
              <w:spacing w:after="0"/>
              <w:rPr>
                <w:rFonts w:ascii="Arial" w:cs="Arial" w:eastAsia="Arial" w:hAnsi="Arial"/>
                <w:sz w:val="18"/>
                <w:szCs w:val="18"/>
                <w:color w:val="0000EE"/>
                <w:w w:val="99"/>
              </w:rPr>
            </w:pPr>
            <w:hyperlink r:id="rId157">
              <w:r>
                <w:rPr>
                  <w:rFonts w:ascii="Arial" w:cs="Arial" w:eastAsia="Arial" w:hAnsi="Arial"/>
                  <w:sz w:val="18"/>
                  <w:szCs w:val="18"/>
                  <w:color w:val="0000EE"/>
                  <w:w w:val="99"/>
                </w:rPr>
                <w:t>Articles of Association (incorporated by reference to Exhibit 3.1 to the registrant’s registration statement on Form F-4 filed</w:t>
              </w:r>
            </w:hyperlink>
          </w:p>
        </w:tc>
        <w:tc>
          <w:tcPr>
            <w:tcW w:w="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with the SEC on January 25, 2019 (File No. 333-229351)).</w:t>
              </w:r>
            </w:hyperlink>
          </w:p>
        </w:tc>
        <w:tc>
          <w:tcPr>
            <w:tcW w:w="5060" w:type="dxa"/>
            <w:vAlign w:val="bottom"/>
            <w:gridSpan w:val="14"/>
          </w:tcPr>
          <w:p>
            <w:pPr>
              <w:spacing w:after="0"/>
              <w:rPr>
                <w:sz w:val="15"/>
                <w:szCs w:val="15"/>
                <w:color w:val="auto"/>
              </w:rPr>
            </w:pPr>
          </w:p>
        </w:tc>
      </w:tr>
      <w:tr>
        <w:trPr>
          <w:trHeight w:val="291"/>
        </w:trPr>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8"/>
                <w:szCs w:val="18"/>
                <w:color w:val="0000EE"/>
                <w:w w:val="99"/>
              </w:rPr>
            </w:pPr>
            <w:hyperlink r:id="rId158">
              <w:r>
                <w:rPr>
                  <w:rFonts w:ascii="Arial" w:cs="Arial" w:eastAsia="Arial" w:hAnsi="Arial"/>
                  <w:sz w:val="18"/>
                  <w:szCs w:val="18"/>
                  <w:color w:val="0000EE"/>
                  <w:w w:val="99"/>
                </w:rPr>
                <w:t>Form of Deposit Agreement (incorporated by reference to Exhibit 4.2 to the registrant’s registration statement on Form F-4</w:t>
              </w:r>
            </w:hyperlink>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2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58">
              <w:r>
                <w:rPr>
                  <w:rFonts w:ascii="Arial" w:cs="Arial" w:eastAsia="Arial" w:hAnsi="Arial"/>
                  <w:sz w:val="18"/>
                  <w:szCs w:val="18"/>
                  <w:color w:val="0000EE"/>
                  <w:w w:val="99"/>
                </w:rPr>
                <w:t>filed with the SEC on January 25, 2019 (File No. 333-229351)).</w:t>
              </w:r>
            </w:hyperlink>
          </w:p>
        </w:tc>
        <w:tc>
          <w:tcPr>
            <w:tcW w:w="4680" w:type="dxa"/>
            <w:vAlign w:val="bottom"/>
            <w:gridSpan w:val="12"/>
          </w:tcPr>
          <w:p>
            <w:pPr>
              <w:spacing w:after="0"/>
              <w:rPr>
                <w:sz w:val="15"/>
                <w:szCs w:val="15"/>
                <w:color w:val="auto"/>
              </w:rPr>
            </w:pPr>
          </w:p>
        </w:tc>
      </w:tr>
      <w:tr>
        <w:trPr>
          <w:trHeight w:val="291"/>
        </w:trPr>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American Depositary Receipt (included in Exhibit 4.1).</w:t>
              </w:r>
            </w:hyperlink>
          </w:p>
        </w:tc>
      </w:tr>
      <w:tr>
        <w:trPr>
          <w:trHeight w:val="291"/>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Opinion of Mayer Brown International LLP</w:t>
              </w:r>
            </w:hyperlink>
          </w:p>
        </w:tc>
        <w:tc>
          <w:tcPr>
            <w:tcW w:w="1620" w:type="dxa"/>
            <w:vAlign w:val="bottom"/>
            <w:tcBorders>
              <w:top w:val="single" w:sz="8" w:color="0000EE"/>
            </w:tcBorders>
            <w:gridSpan w:val="3"/>
          </w:tcPr>
          <w:p>
            <w:pPr>
              <w:spacing w:after="0"/>
              <w:rPr>
                <w:sz w:val="24"/>
                <w:szCs w:val="24"/>
                <w:color w:val="auto"/>
              </w:rPr>
            </w:pPr>
          </w:p>
        </w:tc>
        <w:tc>
          <w:tcPr>
            <w:tcW w:w="4740" w:type="dxa"/>
            <w:vAlign w:val="bottom"/>
            <w:gridSpan w:val="13"/>
          </w:tcPr>
          <w:p>
            <w:pPr>
              <w:spacing w:after="0"/>
              <w:rPr>
                <w:sz w:val="24"/>
                <w:szCs w:val="24"/>
                <w:color w:val="auto"/>
              </w:rPr>
            </w:pPr>
          </w:p>
        </w:tc>
      </w:tr>
      <w:tr>
        <w:trPr>
          <w:trHeight w:val="291"/>
        </w:trPr>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w w:val="96"/>
              </w:rPr>
              <w:t>10.1</w:t>
            </w:r>
          </w:p>
        </w:tc>
        <w:tc>
          <w:tcPr>
            <w:tcW w:w="64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Arial" w:cs="Arial" w:eastAsia="Arial" w:hAnsi="Arial"/>
                <w:sz w:val="18"/>
                <w:szCs w:val="18"/>
                <w:color w:val="0000EE"/>
              </w:rPr>
            </w:pPr>
            <w:hyperlink r:id="rId159">
              <w:r>
                <w:rPr>
                  <w:rFonts w:ascii="Arial" w:cs="Arial" w:eastAsia="Arial" w:hAnsi="Arial"/>
                  <w:sz w:val="18"/>
                  <w:szCs w:val="18"/>
                  <w:color w:val="0000EE"/>
                </w:rPr>
                <w:t>Securities Purchase Agreement, dated February 10, 2020, by and between Mereo BioPharma Group PLC and Aspire</w:t>
              </w:r>
            </w:hyperlink>
          </w:p>
        </w:tc>
        <w:tc>
          <w:tcPr>
            <w:tcW w:w="32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Capital Fund, LLC (incorporated by reference to Exhibit 10.1 to the registrant’s report on Form 6-K filed with the SEC on</w:t>
              </w:r>
            </w:hyperlink>
          </w:p>
        </w:tc>
        <w:tc>
          <w:tcPr>
            <w:tcW w:w="18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700" w:type="dxa"/>
            <w:vAlign w:val="bottom"/>
            <w:gridSpan w:val="18"/>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February 10, 2020 (File No. 001-38452)).</w:t>
              </w:r>
            </w:hyperlink>
          </w:p>
        </w:tc>
      </w:tr>
      <w:tr>
        <w:trPr>
          <w:trHeight w:val="20"/>
        </w:trPr>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91"/>
        </w:trPr>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w w:val="96"/>
              </w:rPr>
              <w:t>10.2</w:t>
            </w:r>
          </w:p>
        </w:tc>
        <w:tc>
          <w:tcPr>
            <w:tcW w:w="640" w:type="dxa"/>
            <w:vAlign w:val="bottom"/>
          </w:tcPr>
          <w:p>
            <w:pPr>
              <w:spacing w:after="0"/>
              <w:rPr>
                <w:sz w:val="24"/>
                <w:szCs w:val="24"/>
                <w:color w:val="auto"/>
              </w:rPr>
            </w:pPr>
          </w:p>
        </w:tc>
        <w:tc>
          <w:tcPr>
            <w:tcW w:w="9300" w:type="dxa"/>
            <w:vAlign w:val="bottom"/>
            <w:tcBorders>
              <w:bottom w:val="single" w:sz="8" w:color="0000EE"/>
            </w:tcBorders>
            <w:gridSpan w:val="13"/>
          </w:tcPr>
          <w:p>
            <w:pPr>
              <w:spacing w:after="0"/>
              <w:rPr>
                <w:rFonts w:ascii="Arial" w:cs="Arial" w:eastAsia="Arial" w:hAnsi="Arial"/>
                <w:sz w:val="18"/>
                <w:szCs w:val="18"/>
                <w:color w:val="0000EE"/>
              </w:rPr>
            </w:pPr>
            <w:hyperlink r:id="rId160">
              <w:r>
                <w:rPr>
                  <w:rFonts w:ascii="Arial" w:cs="Arial" w:eastAsia="Arial" w:hAnsi="Arial"/>
                  <w:sz w:val="18"/>
                  <w:szCs w:val="18"/>
                  <w:color w:val="0000EE"/>
                </w:rPr>
                <w:t>Registration Rights Agreement, dated February 10, 2020, by and between Mereo BioPharma Group PLC and Aspire</w:t>
              </w:r>
            </w:hyperlink>
          </w:p>
        </w:tc>
        <w:tc>
          <w:tcPr>
            <w:tcW w:w="400" w:type="dxa"/>
            <w:vAlign w:val="bottom"/>
            <w:gridSpan w:val="5"/>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60">
              <w:r>
                <w:rPr>
                  <w:rFonts w:ascii="Arial" w:cs="Arial" w:eastAsia="Arial" w:hAnsi="Arial"/>
                  <w:sz w:val="18"/>
                  <w:szCs w:val="18"/>
                  <w:color w:val="0000EE"/>
                  <w:w w:val="99"/>
                </w:rPr>
                <w:t>Capital Fund, LLC (incorporated by reference to Exhibit 10.2 to the registrant’s report on Form 6-K filed with the SEC on</w:t>
              </w:r>
            </w:hyperlink>
          </w:p>
        </w:tc>
        <w:tc>
          <w:tcPr>
            <w:tcW w:w="18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700" w:type="dxa"/>
            <w:vAlign w:val="bottom"/>
            <w:gridSpan w:val="18"/>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February 10, 2020 (File No. 001-38452)).</w:t>
              </w:r>
            </w:hyperlink>
          </w:p>
        </w:tc>
      </w:tr>
      <w:tr>
        <w:trPr>
          <w:trHeight w:val="20"/>
        </w:trPr>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91"/>
        </w:trPr>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w w:val="96"/>
              </w:rPr>
              <w:t>21.1</w:t>
            </w:r>
          </w:p>
        </w:tc>
        <w:tc>
          <w:tcPr>
            <w:tcW w:w="640" w:type="dxa"/>
            <w:vAlign w:val="bottom"/>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r:id="rId161">
              <w:r>
                <w:rPr>
                  <w:rFonts w:ascii="Arial" w:cs="Arial" w:eastAsia="Arial" w:hAnsi="Arial"/>
                  <w:sz w:val="18"/>
                  <w:szCs w:val="18"/>
                  <w:color w:val="0000EE"/>
                </w:rPr>
                <w:t>List of Subsidiaries (incorporated by reference to Exhibit 8.1 to the registrants Annual Report on Form 20-F for the year</w:t>
              </w:r>
            </w:hyperlink>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ended December 31, 2018, filed with the SEC on April 29, 2019 (File No. 001-38452)).</w:t>
              </w:r>
            </w:hyperlink>
          </w:p>
        </w:tc>
        <w:tc>
          <w:tcPr>
            <w:tcW w:w="260" w:type="dxa"/>
            <w:vAlign w:val="bottom"/>
            <w:gridSpan w:val="3"/>
          </w:tcPr>
          <w:p>
            <w:pPr>
              <w:spacing w:after="0"/>
              <w:rPr>
                <w:sz w:val="15"/>
                <w:szCs w:val="15"/>
                <w:color w:val="auto"/>
              </w:rPr>
            </w:pPr>
          </w:p>
        </w:tc>
      </w:tr>
      <w:tr>
        <w:trPr>
          <w:trHeight w:val="291"/>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95"/>
              </w:rPr>
              <w:t>23.1*</w:t>
            </w:r>
          </w:p>
        </w:tc>
        <w:tc>
          <w:tcPr>
            <w:tcW w:w="640" w:type="dxa"/>
            <w:vAlign w:val="bottom"/>
          </w:tcPr>
          <w:p>
            <w:pPr>
              <w:spacing w:after="0"/>
              <w:rPr>
                <w:sz w:val="24"/>
                <w:szCs w:val="24"/>
                <w:color w:val="auto"/>
              </w:rPr>
            </w:pPr>
          </w:p>
        </w:tc>
        <w:tc>
          <w:tcPr>
            <w:tcW w:w="6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Consent of Ernst &amp; Young LLP (UK), Independent Registered Public Accounting Firm</w:t>
              </w:r>
            </w:hyperlink>
          </w:p>
        </w:tc>
        <w:tc>
          <w:tcPr>
            <w:tcW w:w="80" w:type="dxa"/>
            <w:vAlign w:val="bottom"/>
            <w:tcBorders>
              <w:top w:val="single" w:sz="8" w:color="0000EE"/>
            </w:tcBorders>
          </w:tcPr>
          <w:p>
            <w:pPr>
              <w:spacing w:after="0"/>
              <w:rPr>
                <w:sz w:val="24"/>
                <w:szCs w:val="24"/>
                <w:color w:val="auto"/>
              </w:rPr>
            </w:pPr>
          </w:p>
        </w:tc>
        <w:tc>
          <w:tcPr>
            <w:tcW w:w="2840" w:type="dxa"/>
            <w:vAlign w:val="bottom"/>
            <w:gridSpan w:val="6"/>
          </w:tcPr>
          <w:p>
            <w:pPr>
              <w:spacing w:after="0"/>
              <w:rPr>
                <w:sz w:val="24"/>
                <w:szCs w:val="24"/>
                <w:color w:val="auto"/>
              </w:rPr>
            </w:pPr>
          </w:p>
        </w:tc>
      </w:tr>
      <w:tr>
        <w:trPr>
          <w:trHeight w:val="291"/>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95"/>
              </w:rPr>
              <w:t>23.2*</w:t>
            </w:r>
          </w:p>
        </w:tc>
        <w:tc>
          <w:tcPr>
            <w:tcW w:w="640" w:type="dxa"/>
            <w:vAlign w:val="bottom"/>
          </w:tcPr>
          <w:p>
            <w:pPr>
              <w:spacing w:after="0"/>
              <w:rPr>
                <w:sz w:val="24"/>
                <w:szCs w:val="24"/>
                <w:color w:val="auto"/>
              </w:rPr>
            </w:pPr>
          </w:p>
        </w:tc>
        <w:tc>
          <w:tcPr>
            <w:tcW w:w="67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101">
              <w:r>
                <w:rPr>
                  <w:rFonts w:ascii="Arial" w:cs="Arial" w:eastAsia="Arial" w:hAnsi="Arial"/>
                  <w:sz w:val="18"/>
                  <w:szCs w:val="18"/>
                  <w:color w:val="0000EE"/>
                  <w:w w:val="99"/>
                </w:rPr>
                <w:t>Consent of Ernst &amp; Young LLP (US), Independent Registered Public Accounting Firm</w:t>
              </w:r>
            </w:hyperlink>
          </w:p>
        </w:tc>
        <w:tc>
          <w:tcPr>
            <w:tcW w:w="2940" w:type="dxa"/>
            <w:vAlign w:val="bottom"/>
            <w:gridSpan w:val="8"/>
          </w:tcPr>
          <w:p>
            <w:pPr>
              <w:spacing w:after="0"/>
              <w:rPr>
                <w:sz w:val="24"/>
                <w:szCs w:val="24"/>
                <w:color w:val="auto"/>
              </w:rPr>
            </w:pPr>
          </w:p>
        </w:tc>
      </w:tr>
      <w:tr>
        <w:trPr>
          <w:trHeight w:val="291"/>
        </w:trPr>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w w:val="96"/>
              </w:rPr>
              <w:t>23.3</w:t>
            </w:r>
          </w:p>
        </w:tc>
        <w:tc>
          <w:tcPr>
            <w:tcW w:w="640" w:type="dxa"/>
            <w:vAlign w:val="bottom"/>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Consent of Mayer Brown International LLP (included in Exhibit 5.1)</w:t>
              </w:r>
            </w:hyperlink>
          </w:p>
        </w:tc>
      </w:tr>
      <w:tr>
        <w:trPr>
          <w:trHeight w:val="20"/>
        </w:trPr>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gridSpan w:val="7"/>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r>
      <w:tr>
        <w:trPr>
          <w:trHeight w:val="291"/>
        </w:trPr>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w w:val="96"/>
              </w:rPr>
              <w:t>24.1</w:t>
            </w:r>
          </w:p>
        </w:tc>
        <w:tc>
          <w:tcPr>
            <w:tcW w:w="640" w:type="dxa"/>
            <w:vAlign w:val="bottom"/>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Powers of Attorney (included on the signature page to the Registration Statement)</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240" w:top="459" w:right="5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London, the United Kingdom on February 18, 2020.</w:t>
      </w:r>
    </w:p>
    <w:p>
      <w:pPr>
        <w:spacing w:after="0" w:line="23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MEREO BIOPHARMA GROUP PLC</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Denise Scots-Knight, Ph.D.</w:t>
      </w:r>
    </w:p>
    <w:tbl>
      <w:tblPr>
        <w:tblLayout w:type="fixed"/>
        <w:tblInd w:w="71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00" w:right="160" w:firstLine="441"/>
        <w:spacing w:after="0" w:line="236"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Denise Scots-Knight, Ph.D. and Richard Jones,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20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February 18, 2020 in the capacities indicated:</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920" w:type="dxa"/>
            <w:vAlign w:val="bottom"/>
          </w:tcPr>
          <w:p>
            <w:pPr>
              <w:spacing w:after="0"/>
              <w:rPr>
                <w:sz w:val="15"/>
                <w:szCs w:val="15"/>
                <w:color w:val="auto"/>
              </w:rPr>
            </w:pPr>
          </w:p>
        </w:tc>
      </w:tr>
      <w:tr>
        <w:trPr>
          <w:trHeight w:val="411"/>
        </w:trPr>
        <w:tc>
          <w:tcPr>
            <w:tcW w:w="42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9"/>
              </w:rPr>
              <w:t>/s/ Denise Scots-Knight, Ph.D.</w:t>
            </w:r>
          </w:p>
        </w:tc>
        <w:tc>
          <w:tcPr>
            <w:tcW w:w="740" w:type="dxa"/>
            <w:vAlign w:val="bottom"/>
            <w:tcBorders>
              <w:bottom w:val="single" w:sz="8" w:color="auto"/>
            </w:tcBorders>
          </w:tcPr>
          <w:p>
            <w:pPr>
              <w:spacing w:after="0"/>
              <w:rPr>
                <w:sz w:val="24"/>
                <w:szCs w:val="24"/>
                <w:color w:val="auto"/>
              </w:rPr>
            </w:pPr>
          </w:p>
        </w:tc>
        <w:tc>
          <w:tcPr>
            <w:tcW w:w="4540" w:type="dxa"/>
            <w:vAlign w:val="bottom"/>
            <w:gridSpan w:val="3"/>
          </w:tcPr>
          <w:p>
            <w:pPr>
              <w:jc w:val="center"/>
              <w:ind w:left="290"/>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w w:val="99"/>
              </w:rPr>
              <w:t>Denise Scots-Knight, Ph.D.</w:t>
            </w:r>
          </w:p>
        </w:tc>
        <w:tc>
          <w:tcPr>
            <w:tcW w:w="740" w:type="dxa"/>
            <w:vAlign w:val="bottom"/>
          </w:tcPr>
          <w:p>
            <w:pPr>
              <w:spacing w:after="0"/>
              <w:rPr>
                <w:sz w:val="18"/>
                <w:szCs w:val="18"/>
                <w:color w:val="auto"/>
              </w:rPr>
            </w:pPr>
          </w:p>
        </w:tc>
        <w:tc>
          <w:tcPr>
            <w:tcW w:w="4540" w:type="dxa"/>
            <w:vAlign w:val="bottom"/>
            <w:gridSpan w:val="3"/>
          </w:tcPr>
          <w:p>
            <w:pPr>
              <w:jc w:val="center"/>
              <w:ind w:left="310"/>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42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rPr>
              <w:t>/s/ Richard Jones</w:t>
            </w:r>
          </w:p>
        </w:tc>
        <w:tc>
          <w:tcPr>
            <w:tcW w:w="740" w:type="dxa"/>
            <w:vAlign w:val="bottom"/>
            <w:tcBorders>
              <w:bottom w:val="single" w:sz="8" w:color="auto"/>
            </w:tcBorders>
          </w:tcPr>
          <w:p>
            <w:pPr>
              <w:spacing w:after="0"/>
              <w:rPr>
                <w:sz w:val="24"/>
                <w:szCs w:val="24"/>
                <w:color w:val="auto"/>
              </w:rPr>
            </w:pPr>
          </w:p>
        </w:tc>
        <w:tc>
          <w:tcPr>
            <w:tcW w:w="454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Chief Financial Officer and Member of the Board</w:t>
            </w:r>
          </w:p>
        </w:tc>
      </w:tr>
      <w:tr>
        <w:trPr>
          <w:trHeight w:val="183"/>
        </w:trPr>
        <w:tc>
          <w:tcPr>
            <w:tcW w:w="4200" w:type="dxa"/>
            <w:vAlign w:val="bottom"/>
            <w:gridSpan w:val="3"/>
          </w:tcPr>
          <w:p>
            <w:pPr>
              <w:jc w:val="center"/>
              <w:ind w:left="630"/>
              <w:spacing w:after="0" w:line="182" w:lineRule="exact"/>
              <w:rPr>
                <w:sz w:val="20"/>
                <w:szCs w:val="20"/>
                <w:color w:val="auto"/>
              </w:rPr>
            </w:pPr>
            <w:r>
              <w:rPr>
                <w:rFonts w:ascii="Arial" w:cs="Arial" w:eastAsia="Arial" w:hAnsi="Arial"/>
                <w:sz w:val="18"/>
                <w:szCs w:val="18"/>
                <w:color w:val="auto"/>
              </w:rPr>
              <w:t>Richard Jones</w:t>
            </w:r>
          </w:p>
        </w:tc>
        <w:tc>
          <w:tcPr>
            <w:tcW w:w="740" w:type="dxa"/>
            <w:vAlign w:val="bottom"/>
          </w:tcPr>
          <w:p>
            <w:pPr>
              <w:spacing w:after="0"/>
              <w:rPr>
                <w:sz w:val="15"/>
                <w:szCs w:val="15"/>
                <w:color w:val="auto"/>
              </w:rPr>
            </w:pPr>
          </w:p>
        </w:tc>
        <w:tc>
          <w:tcPr>
            <w:tcW w:w="4540" w:type="dxa"/>
            <w:vAlign w:val="bottom"/>
            <w:gridSpan w:val="3"/>
          </w:tcPr>
          <w:p>
            <w:pPr>
              <w:jc w:val="center"/>
              <w:ind w:left="310"/>
              <w:spacing w:after="0" w:line="182" w:lineRule="exact"/>
              <w:rPr>
                <w:sz w:val="20"/>
                <w:szCs w:val="20"/>
                <w:color w:val="auto"/>
              </w:rPr>
            </w:pPr>
            <w:r>
              <w:rPr>
                <w:rFonts w:ascii="Arial" w:cs="Arial" w:eastAsia="Arial" w:hAnsi="Arial"/>
                <w:sz w:val="18"/>
                <w:szCs w:val="18"/>
                <w:color w:val="auto"/>
              </w:rPr>
              <w:t>(Principal Financial Officer and Principal Accounting</w:t>
            </w:r>
          </w:p>
        </w:tc>
      </w:tr>
      <w:tr>
        <w:trPr>
          <w:trHeight w:val="217"/>
        </w:trPr>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40" w:type="dxa"/>
            <w:vAlign w:val="bottom"/>
            <w:gridSpan w:val="3"/>
          </w:tcPr>
          <w:p>
            <w:pPr>
              <w:jc w:val="center"/>
              <w:ind w:left="310"/>
              <w:spacing w:after="0"/>
              <w:rPr>
                <w:sz w:val="20"/>
                <w:szCs w:val="20"/>
                <w:color w:val="auto"/>
              </w:rPr>
            </w:pPr>
            <w:r>
              <w:rPr>
                <w:rFonts w:ascii="Arial" w:cs="Arial" w:eastAsia="Arial" w:hAnsi="Arial"/>
                <w:sz w:val="18"/>
                <w:szCs w:val="18"/>
                <w:color w:val="auto"/>
                <w:w w:val="98"/>
              </w:rPr>
              <w:t>Officer)</w:t>
            </w:r>
          </w:p>
        </w:tc>
      </w:tr>
      <w:tr>
        <w:trPr>
          <w:trHeight w:val="405"/>
        </w:trPr>
        <w:tc>
          <w:tcPr>
            <w:tcW w:w="42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8"/>
              </w:rPr>
              <w:t>/s/ Peter Fellner, Ph.D.</w:t>
            </w:r>
          </w:p>
        </w:tc>
        <w:tc>
          <w:tcPr>
            <w:tcW w:w="740" w:type="dxa"/>
            <w:vAlign w:val="bottom"/>
            <w:tcBorders>
              <w:bottom w:val="single" w:sz="8" w:color="auto"/>
            </w:tcBorders>
          </w:tcPr>
          <w:p>
            <w:pPr>
              <w:spacing w:after="0"/>
              <w:rPr>
                <w:sz w:val="24"/>
                <w:szCs w:val="24"/>
                <w:color w:val="auto"/>
              </w:rPr>
            </w:pPr>
          </w:p>
        </w:tc>
        <w:tc>
          <w:tcPr>
            <w:tcW w:w="4540" w:type="dxa"/>
            <w:vAlign w:val="bottom"/>
            <w:gridSpan w:val="3"/>
          </w:tcPr>
          <w:p>
            <w:pPr>
              <w:jc w:val="center"/>
              <w:ind w:left="310"/>
              <w:spacing w:after="0"/>
              <w:rPr>
                <w:sz w:val="20"/>
                <w:szCs w:val="20"/>
                <w:color w:val="auto"/>
              </w:rPr>
            </w:pPr>
            <w:r>
              <w:rPr>
                <w:rFonts w:ascii="Arial" w:cs="Arial" w:eastAsia="Arial" w:hAnsi="Arial"/>
                <w:sz w:val="18"/>
                <w:szCs w:val="18"/>
                <w:color w:val="auto"/>
              </w:rPr>
              <w:t>Chairman of the Board</w:t>
            </w:r>
          </w:p>
        </w:tc>
      </w:tr>
      <w:tr>
        <w:trPr>
          <w:trHeight w:val="210"/>
        </w:trPr>
        <w:tc>
          <w:tcPr>
            <w:tcW w:w="4200" w:type="dxa"/>
            <w:vAlign w:val="bottom"/>
            <w:gridSpan w:val="3"/>
          </w:tcPr>
          <w:p>
            <w:pPr>
              <w:jc w:val="center"/>
              <w:ind w:left="630"/>
              <w:spacing w:after="0"/>
              <w:rPr>
                <w:sz w:val="20"/>
                <w:szCs w:val="20"/>
                <w:color w:val="auto"/>
              </w:rPr>
            </w:pPr>
            <w:r>
              <w:rPr>
                <w:rFonts w:ascii="Arial" w:cs="Arial" w:eastAsia="Arial" w:hAnsi="Arial"/>
                <w:sz w:val="18"/>
                <w:szCs w:val="18"/>
                <w:color w:val="auto"/>
                <w:w w:val="98"/>
              </w:rPr>
              <w:t>Peter Fellner, Ph.D.</w:t>
            </w:r>
          </w:p>
        </w:tc>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42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9"/>
              </w:rPr>
              <w:t>/s/ Peter Bains</w:t>
            </w:r>
          </w:p>
        </w:tc>
        <w:tc>
          <w:tcPr>
            <w:tcW w:w="740" w:type="dxa"/>
            <w:vAlign w:val="bottom"/>
            <w:tcBorders>
              <w:bottom w:val="single" w:sz="8" w:color="auto"/>
            </w:tcBorders>
          </w:tcPr>
          <w:p>
            <w:pPr>
              <w:spacing w:after="0"/>
              <w:rPr>
                <w:sz w:val="24"/>
                <w:szCs w:val="24"/>
                <w:color w:val="auto"/>
              </w:rPr>
            </w:pPr>
          </w:p>
        </w:tc>
        <w:tc>
          <w:tcPr>
            <w:tcW w:w="4540" w:type="dxa"/>
            <w:vAlign w:val="bottom"/>
            <w:gridSpan w:val="3"/>
          </w:tcPr>
          <w:p>
            <w:pPr>
              <w:jc w:val="center"/>
              <w:ind w:left="310"/>
              <w:spacing w:after="0"/>
              <w:rPr>
                <w:sz w:val="20"/>
                <w:szCs w:val="20"/>
                <w:color w:val="auto"/>
              </w:rPr>
            </w:pPr>
            <w:r>
              <w:rPr>
                <w:rFonts w:ascii="Arial" w:cs="Arial" w:eastAsia="Arial" w:hAnsi="Arial"/>
                <w:sz w:val="18"/>
                <w:szCs w:val="18"/>
                <w:color w:val="auto"/>
              </w:rPr>
              <w:t>Member of the Board</w:t>
            </w:r>
          </w:p>
        </w:tc>
      </w:tr>
      <w:tr>
        <w:trPr>
          <w:trHeight w:val="210"/>
        </w:trPr>
        <w:tc>
          <w:tcPr>
            <w:tcW w:w="4200" w:type="dxa"/>
            <w:vAlign w:val="bottom"/>
            <w:gridSpan w:val="3"/>
          </w:tcPr>
          <w:p>
            <w:pPr>
              <w:jc w:val="center"/>
              <w:ind w:left="630"/>
              <w:spacing w:after="0"/>
              <w:rPr>
                <w:sz w:val="20"/>
                <w:szCs w:val="20"/>
                <w:color w:val="auto"/>
              </w:rPr>
            </w:pPr>
            <w:r>
              <w:rPr>
                <w:rFonts w:ascii="Arial" w:cs="Arial" w:eastAsia="Arial" w:hAnsi="Arial"/>
                <w:sz w:val="18"/>
                <w:szCs w:val="18"/>
                <w:color w:val="auto"/>
                <w:w w:val="98"/>
              </w:rPr>
              <w:t>Peter Bains</w:t>
            </w:r>
          </w:p>
        </w:tc>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42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9"/>
              </w:rPr>
              <w:t>/s/ Paul Blackburn</w:t>
            </w:r>
          </w:p>
        </w:tc>
        <w:tc>
          <w:tcPr>
            <w:tcW w:w="740" w:type="dxa"/>
            <w:vAlign w:val="bottom"/>
            <w:tcBorders>
              <w:bottom w:val="single" w:sz="8" w:color="auto"/>
            </w:tcBorders>
          </w:tcPr>
          <w:p>
            <w:pPr>
              <w:spacing w:after="0"/>
              <w:rPr>
                <w:sz w:val="24"/>
                <w:szCs w:val="24"/>
                <w:color w:val="auto"/>
              </w:rPr>
            </w:pPr>
          </w:p>
        </w:tc>
        <w:tc>
          <w:tcPr>
            <w:tcW w:w="4540" w:type="dxa"/>
            <w:vAlign w:val="bottom"/>
            <w:gridSpan w:val="3"/>
          </w:tcPr>
          <w:p>
            <w:pPr>
              <w:jc w:val="center"/>
              <w:ind w:left="310"/>
              <w:spacing w:after="0"/>
              <w:rPr>
                <w:sz w:val="20"/>
                <w:szCs w:val="20"/>
                <w:color w:val="auto"/>
              </w:rPr>
            </w:pPr>
            <w:r>
              <w:rPr>
                <w:rFonts w:ascii="Arial" w:cs="Arial" w:eastAsia="Arial" w:hAnsi="Arial"/>
                <w:sz w:val="18"/>
                <w:szCs w:val="18"/>
                <w:color w:val="auto"/>
              </w:rPr>
              <w:t>Member of the Board</w:t>
            </w:r>
          </w:p>
        </w:tc>
      </w:tr>
      <w:tr>
        <w:trPr>
          <w:trHeight w:val="210"/>
        </w:trPr>
        <w:tc>
          <w:tcPr>
            <w:tcW w:w="4200" w:type="dxa"/>
            <w:vAlign w:val="bottom"/>
            <w:gridSpan w:val="3"/>
          </w:tcPr>
          <w:p>
            <w:pPr>
              <w:jc w:val="center"/>
              <w:ind w:left="630"/>
              <w:spacing w:after="0"/>
              <w:rPr>
                <w:sz w:val="20"/>
                <w:szCs w:val="20"/>
                <w:color w:val="auto"/>
              </w:rPr>
            </w:pPr>
            <w:r>
              <w:rPr>
                <w:rFonts w:ascii="Arial" w:cs="Arial" w:eastAsia="Arial" w:hAnsi="Arial"/>
                <w:sz w:val="18"/>
                <w:szCs w:val="18"/>
                <w:color w:val="auto"/>
                <w:w w:val="99"/>
              </w:rPr>
              <w:t>Paul Blackburn</w:t>
            </w:r>
          </w:p>
        </w:tc>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42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9"/>
              </w:rPr>
              <w:t>/s/ Anders Ekblom, M.D., Ph.D.</w:t>
            </w:r>
          </w:p>
        </w:tc>
        <w:tc>
          <w:tcPr>
            <w:tcW w:w="740" w:type="dxa"/>
            <w:vAlign w:val="bottom"/>
            <w:tcBorders>
              <w:bottom w:val="single" w:sz="8" w:color="auto"/>
            </w:tcBorders>
          </w:tcPr>
          <w:p>
            <w:pPr>
              <w:spacing w:after="0"/>
              <w:rPr>
                <w:sz w:val="24"/>
                <w:szCs w:val="24"/>
                <w:color w:val="auto"/>
              </w:rPr>
            </w:pPr>
          </w:p>
        </w:tc>
        <w:tc>
          <w:tcPr>
            <w:tcW w:w="4540" w:type="dxa"/>
            <w:vAlign w:val="bottom"/>
            <w:gridSpan w:val="3"/>
          </w:tcPr>
          <w:p>
            <w:pPr>
              <w:jc w:val="center"/>
              <w:ind w:left="310"/>
              <w:spacing w:after="0"/>
              <w:rPr>
                <w:sz w:val="20"/>
                <w:szCs w:val="20"/>
                <w:color w:val="auto"/>
              </w:rPr>
            </w:pPr>
            <w:r>
              <w:rPr>
                <w:rFonts w:ascii="Arial" w:cs="Arial" w:eastAsia="Arial" w:hAnsi="Arial"/>
                <w:sz w:val="18"/>
                <w:szCs w:val="18"/>
                <w:color w:val="auto"/>
              </w:rPr>
              <w:t>Member of the Board</w:t>
            </w:r>
          </w:p>
        </w:tc>
      </w:tr>
      <w:tr>
        <w:trPr>
          <w:trHeight w:val="210"/>
        </w:trPr>
        <w:tc>
          <w:tcPr>
            <w:tcW w:w="4200" w:type="dxa"/>
            <w:vAlign w:val="bottom"/>
            <w:gridSpan w:val="3"/>
          </w:tcPr>
          <w:p>
            <w:pPr>
              <w:jc w:val="center"/>
              <w:ind w:left="630"/>
              <w:spacing w:after="0"/>
              <w:rPr>
                <w:sz w:val="20"/>
                <w:szCs w:val="20"/>
                <w:color w:val="auto"/>
              </w:rPr>
            </w:pPr>
            <w:r>
              <w:rPr>
                <w:rFonts w:ascii="Arial" w:cs="Arial" w:eastAsia="Arial" w:hAnsi="Arial"/>
                <w:sz w:val="18"/>
                <w:szCs w:val="18"/>
                <w:color w:val="auto"/>
                <w:w w:val="99"/>
              </w:rPr>
              <w:t>Anders Ekblom, M.D., Ph.D.</w:t>
            </w:r>
          </w:p>
        </w:tc>
        <w:tc>
          <w:tcPr>
            <w:tcW w:w="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64"/>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80" w:type="dxa"/>
            <w:vAlign w:val="bottom"/>
            <w:gridSpan w:val="4"/>
          </w:tcPr>
          <w:p>
            <w:pPr>
              <w:ind w:left="50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88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spacing w:after="0"/>
              <w:rPr>
                <w:sz w:val="15"/>
                <w:szCs w:val="15"/>
                <w:color w:val="auto"/>
              </w:rPr>
            </w:pPr>
          </w:p>
        </w:tc>
      </w:tr>
      <w:tr>
        <w:trPr>
          <w:trHeight w:val="412"/>
        </w:trPr>
        <w:tc>
          <w:tcPr>
            <w:tcW w:w="4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Kunal Kashyap</w:t>
            </w:r>
          </w:p>
        </w:tc>
        <w:tc>
          <w:tcPr>
            <w:tcW w:w="3320" w:type="dxa"/>
            <w:vAlign w:val="bottom"/>
            <w:gridSpan w:val="3"/>
          </w:tcPr>
          <w:p>
            <w:pPr>
              <w:jc w:val="center"/>
              <w:ind w:left="1530"/>
              <w:spacing w:after="0"/>
              <w:rPr>
                <w:sz w:val="20"/>
                <w:szCs w:val="20"/>
                <w:color w:val="auto"/>
              </w:rPr>
            </w:pPr>
            <w:r>
              <w:rPr>
                <w:rFonts w:ascii="Arial" w:cs="Arial" w:eastAsia="Arial" w:hAnsi="Arial"/>
                <w:sz w:val="18"/>
                <w:szCs w:val="18"/>
                <w:color w:val="auto"/>
              </w:rPr>
              <w:t>Member of the Board</w:t>
            </w:r>
          </w:p>
        </w:tc>
      </w:tr>
      <w:tr>
        <w:trPr>
          <w:trHeight w:val="210"/>
        </w:trPr>
        <w:tc>
          <w:tcPr>
            <w:tcW w:w="49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Kunal Kashyap</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18"/>
        </w:trPr>
        <w:tc>
          <w:tcPr>
            <w:tcW w:w="4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Deepika R. Pakianathan, Ph.D.</w:t>
            </w:r>
          </w:p>
        </w:tc>
        <w:tc>
          <w:tcPr>
            <w:tcW w:w="3320" w:type="dxa"/>
            <w:vAlign w:val="bottom"/>
            <w:gridSpan w:val="3"/>
          </w:tcPr>
          <w:p>
            <w:pPr>
              <w:jc w:val="center"/>
              <w:ind w:left="1530"/>
              <w:spacing w:after="0"/>
              <w:rPr>
                <w:sz w:val="20"/>
                <w:szCs w:val="20"/>
                <w:color w:val="auto"/>
              </w:rPr>
            </w:pPr>
            <w:r>
              <w:rPr>
                <w:rFonts w:ascii="Arial" w:cs="Arial" w:eastAsia="Arial" w:hAnsi="Arial"/>
                <w:sz w:val="18"/>
                <w:szCs w:val="18"/>
                <w:color w:val="auto"/>
              </w:rPr>
              <w:t>Member of the Board</w:t>
            </w:r>
          </w:p>
        </w:tc>
      </w:tr>
      <w:tr>
        <w:trPr>
          <w:trHeight w:val="210"/>
        </w:trPr>
        <w:tc>
          <w:tcPr>
            <w:tcW w:w="49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Deepika R. Pakianathan, Ph.D.</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18"/>
        </w:trPr>
        <w:tc>
          <w:tcPr>
            <w:tcW w:w="4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Michael S. Wyzga</w:t>
            </w:r>
          </w:p>
        </w:tc>
        <w:tc>
          <w:tcPr>
            <w:tcW w:w="3320" w:type="dxa"/>
            <w:vAlign w:val="bottom"/>
            <w:gridSpan w:val="3"/>
          </w:tcPr>
          <w:p>
            <w:pPr>
              <w:jc w:val="center"/>
              <w:ind w:left="1530"/>
              <w:spacing w:after="0"/>
              <w:rPr>
                <w:sz w:val="20"/>
                <w:szCs w:val="20"/>
                <w:color w:val="auto"/>
              </w:rPr>
            </w:pPr>
            <w:r>
              <w:rPr>
                <w:rFonts w:ascii="Arial" w:cs="Arial" w:eastAsia="Arial" w:hAnsi="Arial"/>
                <w:sz w:val="18"/>
                <w:szCs w:val="18"/>
                <w:color w:val="auto"/>
              </w:rPr>
              <w:t>Member of the Board</w:t>
            </w:r>
          </w:p>
        </w:tc>
      </w:tr>
      <w:tr>
        <w:trPr>
          <w:trHeight w:val="210"/>
        </w:trPr>
        <w:tc>
          <w:tcPr>
            <w:tcW w:w="49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Michael S. Wyzga</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February 18, 2020.</w:t>
      </w:r>
    </w:p>
    <w:p>
      <w:pPr>
        <w:spacing w:after="0" w:line="22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-1905</wp:posOffset>
            </wp:positionV>
            <wp:extent cx="25730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Denise Scots-Knight, Ph.D.</w:t>
      </w:r>
    </w:p>
    <w:p>
      <w:pPr>
        <w:ind w:left="7180"/>
        <w:spacing w:after="0"/>
        <w:tabs>
          <w:tab w:leader="none" w:pos="78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060"/>
          </w:cols>
          <w:pgMar w:left="240" w:top="459" w:right="5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 EC2M 3AF</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+44 20 3130 3000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+44 20 3130 3001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www.mayerbrown.com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DX 556 London and City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One Cavendish Place</w:t>
      </w:r>
      <w:r>
        <w:rPr>
          <w:sz w:val="20"/>
          <w:szCs w:val="20"/>
          <w:color w:val="auto"/>
        </w:rPr>
        <w:tab/>
      </w:r>
      <w:r>
        <w:rPr>
          <w:rFonts w:ascii="Arial" w:cs="Arial" w:eastAsia="Arial" w:hAnsi="Arial"/>
          <w:sz w:val="16"/>
          <w:szCs w:val="16"/>
          <w:color w:val="auto"/>
        </w:rPr>
        <w:t>18 February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W1G 0QF</w:t>
      </w: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6"/>
          <w:szCs w:val="16"/>
          <w:color w:val="auto"/>
        </w:rPr>
        <w:t>20641525/20456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F-1</w:t>
      </w:r>
    </w:p>
    <w:p>
      <w:pPr>
        <w:spacing w:after="0" w:line="131" w:lineRule="exact"/>
        <w:rPr>
          <w:sz w:val="20"/>
          <w:szCs w:val="20"/>
          <w:color w:val="auto"/>
        </w:rPr>
      </w:pPr>
    </w:p>
    <w:p>
      <w:pPr>
        <w:ind w:left="440" w:hanging="436"/>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17" w:lineRule="exact"/>
        <w:rPr>
          <w:rFonts w:ascii="Arial" w:cs="Arial" w:eastAsia="Arial" w:hAnsi="Arial"/>
          <w:sz w:val="18"/>
          <w:szCs w:val="18"/>
          <w:color w:val="auto"/>
        </w:rPr>
      </w:pPr>
    </w:p>
    <w:p>
      <w:pPr>
        <w:ind w:left="440" w:right="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have acted for Mereo BioPharma Group plc, a public limited company incorporated under the laws of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as its legal advisers in England in connection with a securities purchase agreement dated 10 February 2020 (the </w:t>
      </w:r>
      <w:r>
        <w:rPr>
          <w:rFonts w:ascii="Arial" w:cs="Arial" w:eastAsia="Arial" w:hAnsi="Arial"/>
          <w:sz w:val="18"/>
          <w:szCs w:val="18"/>
          <w:b w:val="1"/>
          <w:bCs w:val="1"/>
          <w:color w:val="auto"/>
        </w:rPr>
        <w:t>“Securities 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the Company and Aspire Capital Fund, LLC (the</w:t>
      </w:r>
      <w:r>
        <w:rPr>
          <w:rFonts w:ascii="Arial" w:cs="Arial" w:eastAsia="Arial" w:hAnsi="Arial"/>
          <w:sz w:val="18"/>
          <w:szCs w:val="18"/>
          <w:b w:val="1"/>
          <w:bCs w:val="1"/>
          <w:color w:val="auto"/>
        </w:rPr>
        <w:t xml:space="preserve"> “Buyer”</w:t>
      </w:r>
      <w:r>
        <w:rPr>
          <w:rFonts w:ascii="Arial" w:cs="Arial" w:eastAsia="Arial" w:hAnsi="Arial"/>
          <w:sz w:val="18"/>
          <w:szCs w:val="18"/>
          <w:color w:val="auto"/>
        </w:rPr>
        <w:t>) relating to the issuance by the Company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US$28,300,000 of ordinary shares of £0.003 each in the Company (the </w:t>
      </w:r>
      <w:r>
        <w:rPr>
          <w:rFonts w:ascii="Arial" w:cs="Arial" w:eastAsia="Arial" w:hAnsi="Arial"/>
          <w:sz w:val="18"/>
          <w:szCs w:val="18"/>
          <w:b w:val="1"/>
          <w:bCs w:val="1"/>
          <w:color w:val="auto"/>
        </w:rPr>
        <w:t>“New Shares”</w:t>
      </w:r>
      <w:r>
        <w:rPr>
          <w:rFonts w:ascii="Arial" w:cs="Arial" w:eastAsia="Arial" w:hAnsi="Arial"/>
          <w:sz w:val="18"/>
          <w:szCs w:val="18"/>
          <w:color w:val="auto"/>
        </w:rPr>
        <w:t>), which New Shares may be exchanged for American Depository Shares (</w:t>
      </w:r>
      <w:r>
        <w:rPr>
          <w:rFonts w:ascii="Arial" w:cs="Arial" w:eastAsia="Arial" w:hAnsi="Arial"/>
          <w:sz w:val="18"/>
          <w:szCs w:val="18"/>
          <w:b w:val="1"/>
          <w:bCs w:val="1"/>
          <w:color w:val="auto"/>
        </w:rPr>
        <w:t>“ADS”</w:t>
      </w:r>
      <w:r>
        <w:rPr>
          <w:rFonts w:ascii="Arial" w:cs="Arial" w:eastAsia="Arial" w:hAnsi="Arial"/>
          <w:sz w:val="18"/>
          <w:szCs w:val="18"/>
          <w:color w:val="auto"/>
        </w:rPr>
        <w:t>) of the Company with each ADS representing 5 ordinary shares. 14,295,520 New Shares were to be allotted to the Buyer for an aggregate amount of US$3,300,000 on 11 February 2020 (such 14,295,520 New Shares, the “</w:t>
      </w:r>
      <w:r>
        <w:rPr>
          <w:rFonts w:ascii="Arial" w:cs="Arial" w:eastAsia="Arial" w:hAnsi="Arial"/>
          <w:sz w:val="18"/>
          <w:szCs w:val="18"/>
          <w:b w:val="1"/>
          <w:bCs w:val="1"/>
          <w:color w:val="auto"/>
        </w:rPr>
        <w:t>Initial Shares</w:t>
      </w:r>
      <w:r>
        <w:rPr>
          <w:rFonts w:ascii="Arial" w:cs="Arial" w:eastAsia="Arial" w:hAnsi="Arial"/>
          <w:sz w:val="18"/>
          <w:szCs w:val="18"/>
          <w:color w:val="auto"/>
        </w:rPr>
        <w:t>” and the remaining New Shares of up to US$25,000,000, the “</w:t>
      </w:r>
      <w:r>
        <w:rPr>
          <w:rFonts w:ascii="Arial" w:cs="Arial" w:eastAsia="Arial" w:hAnsi="Arial"/>
          <w:sz w:val="18"/>
          <w:szCs w:val="18"/>
          <w:b w:val="1"/>
          <w:bCs w:val="1"/>
          <w:color w:val="auto"/>
        </w:rPr>
        <w:t>Further Shares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40" w:right="1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This opinion is being furnished in connection with the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to be filed on or about 18 February 2020 by the Company with the U.S. Securities and Exchange Commission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promulgated thereunder (the</w:t>
      </w:r>
      <w:r>
        <w:rPr>
          <w:rFonts w:ascii="Arial" w:cs="Arial" w:eastAsia="Arial" w:hAnsi="Arial"/>
          <w:sz w:val="18"/>
          <w:szCs w:val="18"/>
          <w:b w:val="1"/>
          <w:bCs w:val="1"/>
          <w:color w:val="auto"/>
        </w:rPr>
        <w:t xml:space="preserve"> “Rules”</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440" w:right="480"/>
        <w:spacing w:after="0" w:line="277" w:lineRule="auto"/>
        <w:rPr>
          <w:rFonts w:ascii="Arial" w:cs="Arial" w:eastAsia="Arial" w:hAnsi="Arial"/>
          <w:sz w:val="18"/>
          <w:szCs w:val="18"/>
          <w:color w:val="auto"/>
        </w:rPr>
      </w:pPr>
      <w:r>
        <w:rPr>
          <w:rFonts w:ascii="Arial" w:cs="Arial" w:eastAsia="Arial" w:hAnsi="Arial"/>
          <w:sz w:val="18"/>
          <w:szCs w:val="18"/>
          <w:color w:val="auto"/>
        </w:rPr>
        <w:t>The existing issued ordinary shares of the Company are admitted to trading, and application is required to be made for the New Shares to be admitted to trading, on the AIM market operated by London Stock Exchange plc (</w:t>
      </w:r>
      <w:r>
        <w:rPr>
          <w:rFonts w:ascii="Arial" w:cs="Arial" w:eastAsia="Arial" w:hAnsi="Arial"/>
          <w:sz w:val="18"/>
          <w:szCs w:val="18"/>
          <w:b w:val="1"/>
          <w:bCs w:val="1"/>
          <w:color w:val="auto"/>
        </w:rPr>
        <w:t>“AIM”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In connection with the Registration Statement, we have been asked to provide an opinion on certain matters, as set out below.</w:t>
      </w:r>
    </w:p>
    <w:p>
      <w:pPr>
        <w:spacing w:after="0" w:line="369" w:lineRule="exact"/>
        <w:rPr>
          <w:rFonts w:ascii="Arial" w:cs="Arial" w:eastAsia="Arial" w:hAnsi="Arial"/>
          <w:sz w:val="18"/>
          <w:szCs w:val="18"/>
          <w:color w:val="auto"/>
        </w:rPr>
      </w:pPr>
    </w:p>
    <w:p>
      <w:pPr>
        <w:ind w:left="440" w:hanging="436"/>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Examination and enquiries</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the purpose of giving this opinion, we have examined:</w:t>
      </w:r>
    </w:p>
    <w:p>
      <w:pPr>
        <w:spacing w:after="0" w:line="221" w:lineRule="exact"/>
        <w:rPr>
          <w:sz w:val="20"/>
          <w:szCs w:val="20"/>
          <w:color w:val="auto"/>
        </w:rPr>
      </w:pPr>
    </w:p>
    <w:p>
      <w:pPr>
        <w:jc w:val="center"/>
        <w:ind w:left="460" w:right="320"/>
        <w:spacing w:after="0" w:line="253" w:lineRule="auto"/>
        <w:rPr>
          <w:sz w:val="20"/>
          <w:szCs w:val="20"/>
          <w:color w:val="auto"/>
        </w:rPr>
      </w:pPr>
      <w:r>
        <w:rPr>
          <w:rFonts w:ascii="Arial" w:cs="Arial" w:eastAsia="Arial" w:hAnsi="Arial"/>
          <w:sz w:val="14"/>
          <w:szCs w:val="14"/>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66" w:lineRule="exact"/>
        <w:rPr>
          <w:sz w:val="20"/>
          <w:szCs w:val="20"/>
          <w:color w:val="auto"/>
        </w:rPr>
      </w:pPr>
    </w:p>
    <w:p>
      <w:pPr>
        <w:jc w:val="center"/>
        <w:spacing w:after="0" w:line="238" w:lineRule="auto"/>
        <w:rPr>
          <w:sz w:val="20"/>
          <w:szCs w:val="20"/>
          <w:color w:val="auto"/>
        </w:rPr>
      </w:pPr>
      <w:r>
        <w:rPr>
          <w:rFonts w:ascii="Arial" w:cs="Arial" w:eastAsia="Arial" w:hAnsi="Arial"/>
          <w:sz w:val="14"/>
          <w:szCs w:val="14"/>
          <w:color w:val="auto"/>
        </w:rPr>
        <w:t>Mayer Brown International LLP is a limited liability partnership (registered in England and Wales number OC303359) which is authorised and regulated by the Solicitors Regulation Authority. We operate in combination with other Mayer Brown entities with offices in the United States, Europe and Asia and are associated with Tauil &amp; Chequer Advogados, a Brazilian law partnership.</w:t>
      </w:r>
    </w:p>
    <w:p>
      <w:pPr>
        <w:spacing w:after="0" w:line="75" w:lineRule="exact"/>
        <w:rPr>
          <w:sz w:val="20"/>
          <w:szCs w:val="20"/>
          <w:color w:val="auto"/>
        </w:rPr>
      </w:pPr>
    </w:p>
    <w:p>
      <w:pPr>
        <w:jc w:val="center"/>
        <w:spacing w:after="0" w:line="238" w:lineRule="auto"/>
        <w:rPr>
          <w:sz w:val="20"/>
          <w:szCs w:val="20"/>
          <w:color w:val="auto"/>
        </w:rPr>
      </w:pPr>
      <w:r>
        <w:rPr>
          <w:rFonts w:ascii="Arial" w:cs="Arial" w:eastAsia="Arial" w:hAnsi="Arial"/>
          <w:sz w:val="14"/>
          <w:szCs w:val="14"/>
          <w:color w:val="auto"/>
        </w:rPr>
        <w:t>We use the term “partner” to refer to a member of Mayer Brown International LLP, or an employee or consultant who is a lawyer with equivalent standing and 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0"/>
          </w:cols>
          <w:pgMar w:left="440" w:top="121" w:right="439" w:bottom="1440" w:gutter="0" w:footer="0" w:header="0"/>
        </w:sectPr>
      </w:pPr>
    </w:p>
    <w:bookmarkStart w:id="93" w:name="page94"/>
    <w:bookmarkEnd w:id="93"/>
    <w:p>
      <w:pPr>
        <w:ind w:left="984" w:right="480" w:hanging="430"/>
        <w:spacing w:after="0" w:line="277" w:lineRule="auto"/>
        <w:tabs>
          <w:tab w:leader="none" w:pos="984"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Registration Statement (excluding its exhibits and any documents incorporated by reference into the Registration Statement);</w:t>
      </w:r>
    </w:p>
    <w:p>
      <w:pPr>
        <w:spacing w:after="0" w:line="75" w:lineRule="exact"/>
        <w:rPr>
          <w:rFonts w:ascii="Arial" w:cs="Arial" w:eastAsia="Arial" w:hAnsi="Arial"/>
          <w:sz w:val="18"/>
          <w:szCs w:val="18"/>
          <w:color w:val="auto"/>
        </w:rPr>
      </w:pPr>
    </w:p>
    <w:p>
      <w:pPr>
        <w:ind w:left="984" w:hanging="430"/>
        <w:spacing w:after="0"/>
        <w:tabs>
          <w:tab w:leader="none" w:pos="9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copy of the Securities Purchase Agreement; and</w:t>
      </w:r>
    </w:p>
    <w:p>
      <w:pPr>
        <w:spacing w:after="0" w:line="126" w:lineRule="exact"/>
        <w:rPr>
          <w:rFonts w:ascii="Arial" w:cs="Arial" w:eastAsia="Arial" w:hAnsi="Arial"/>
          <w:sz w:val="18"/>
          <w:szCs w:val="18"/>
          <w:color w:val="auto"/>
        </w:rPr>
      </w:pPr>
    </w:p>
    <w:p>
      <w:pPr>
        <w:ind w:left="984" w:right="160" w:hanging="430"/>
        <w:spacing w:after="0" w:line="266" w:lineRule="auto"/>
        <w:tabs>
          <w:tab w:leader="none" w:pos="984"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a certificate dated 18 February 2020 signed by the company secretary of the Company (the </w:t>
      </w:r>
      <w:r>
        <w:rPr>
          <w:rFonts w:ascii="Arial" w:cs="Arial" w:eastAsia="Arial" w:hAnsi="Arial"/>
          <w:sz w:val="18"/>
          <w:szCs w:val="18"/>
          <w:b w:val="1"/>
          <w:bCs w:val="1"/>
          <w:color w:val="auto"/>
        </w:rPr>
        <w:t>“Officer’s Certificate”</w:t>
      </w:r>
      <w:r>
        <w:rPr>
          <w:rFonts w:ascii="Arial" w:cs="Arial" w:eastAsia="Arial" w:hAnsi="Arial"/>
          <w:sz w:val="18"/>
          <w:szCs w:val="18"/>
          <w:color w:val="auto"/>
        </w:rPr>
        <w:t>) relating to certain factual matters and having annexed thereto copies (certified by the company secretary as being true, complete, accurate and up-to-date in each case) of the following documents:</w:t>
      </w:r>
    </w:p>
    <w:p>
      <w:pPr>
        <w:spacing w:after="0" w:line="85" w:lineRule="exact"/>
        <w:rPr>
          <w:rFonts w:ascii="Arial" w:cs="Arial" w:eastAsia="Arial" w:hAnsi="Arial"/>
          <w:sz w:val="18"/>
          <w:szCs w:val="18"/>
          <w:color w:val="auto"/>
        </w:rPr>
      </w:pPr>
    </w:p>
    <w:p>
      <w:pPr>
        <w:ind w:left="1544" w:right="240" w:hanging="545"/>
        <w:spacing w:after="0" w:line="277" w:lineRule="auto"/>
        <w:tabs>
          <w:tab w:leader="none" w:pos="1544"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re-registration, memorandum of association and articles of association;</w:t>
      </w:r>
    </w:p>
    <w:p>
      <w:pPr>
        <w:spacing w:after="0" w:line="75" w:lineRule="exact"/>
        <w:rPr>
          <w:rFonts w:ascii="Arial" w:cs="Arial" w:eastAsia="Arial" w:hAnsi="Arial"/>
          <w:sz w:val="18"/>
          <w:szCs w:val="18"/>
          <w:color w:val="auto"/>
        </w:rPr>
      </w:pPr>
    </w:p>
    <w:p>
      <w:pPr>
        <w:ind w:left="1544" w:hanging="545"/>
        <w:spacing w:after="0" w:line="259" w:lineRule="auto"/>
        <w:tabs>
          <w:tab w:leader="none" w:pos="1544" w:val="left"/>
        </w:tabs>
        <w:numPr>
          <w:ilvl w:val="2"/>
          <w:numId w:val="70"/>
        </w:numPr>
        <w:rPr>
          <w:rFonts w:ascii="Arial" w:cs="Arial" w:eastAsia="Arial" w:hAnsi="Arial"/>
          <w:sz w:val="18"/>
          <w:szCs w:val="18"/>
          <w:color w:val="auto"/>
        </w:rPr>
      </w:pPr>
      <w:r>
        <w:rPr>
          <w:rFonts w:ascii="Arial" w:cs="Arial" w:eastAsia="Arial" w:hAnsi="Arial"/>
          <w:sz w:val="18"/>
          <w:szCs w:val="18"/>
          <w:color w:val="auto"/>
        </w:rPr>
        <w:t>minutes of meetings of the board of directors of the Company held on 8 October 2019 and 8 February 2020 and of meetings of the financing committee of the board of directors of the Company held on 9 February 2020 and 17 February 2020 at which it was resolved, inter alia, to approve the Securities Purchase Agreement and approve the filing of the Registration Statement with the U.S. Securities and Exchange Commission; and</w:t>
      </w:r>
    </w:p>
    <w:p>
      <w:pPr>
        <w:spacing w:after="0" w:line="92" w:lineRule="exact"/>
        <w:rPr>
          <w:rFonts w:ascii="Arial" w:cs="Arial" w:eastAsia="Arial" w:hAnsi="Arial"/>
          <w:sz w:val="18"/>
          <w:szCs w:val="18"/>
          <w:color w:val="auto"/>
        </w:rPr>
      </w:pPr>
    </w:p>
    <w:p>
      <w:pPr>
        <w:ind w:left="1544" w:hanging="545"/>
        <w:spacing w:after="0"/>
        <w:tabs>
          <w:tab w:leader="none" w:pos="1544"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resolutions of the shareholders of the Company passed on 19 June 2019.</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purpose of giving this opinion, we have:</w:t>
      </w:r>
    </w:p>
    <w:p>
      <w:pPr>
        <w:spacing w:after="0" w:line="130" w:lineRule="exact"/>
        <w:rPr>
          <w:rFonts w:ascii="Arial" w:cs="Arial" w:eastAsia="Arial" w:hAnsi="Arial"/>
          <w:sz w:val="18"/>
          <w:szCs w:val="18"/>
          <w:color w:val="auto"/>
        </w:rPr>
      </w:pPr>
    </w:p>
    <w:p>
      <w:pPr>
        <w:ind w:left="984" w:right="160" w:hanging="430"/>
        <w:spacing w:after="0" w:line="277" w:lineRule="auto"/>
        <w:tabs>
          <w:tab w:leader="none" w:pos="984"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18 February 2020 an online search of the register kept by the Registrar of Companies in respect of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84" w:right="60" w:hanging="430"/>
        <w:spacing w:after="0" w:line="264" w:lineRule="auto"/>
        <w:tabs>
          <w:tab w:leader="none" w:pos="984"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18 February 2020 at approximately 10:04 a.m. an online search in respect of the Company of the Central Registry of Winding Up Petitions (the </w:t>
      </w:r>
      <w:r>
        <w:rPr>
          <w:rFonts w:ascii="Arial" w:cs="Arial" w:eastAsia="Arial" w:hAnsi="Arial"/>
          <w:sz w:val="18"/>
          <w:szCs w:val="18"/>
          <w:b w:val="1"/>
          <w:bCs w:val="1"/>
          <w:color w:val="auto"/>
        </w:rPr>
        <w:t>“Central Registry Enquiry”</w:t>
      </w:r>
      <w:r>
        <w:rPr>
          <w:rFonts w:ascii="Arial" w:cs="Arial" w:eastAsia="Arial" w:hAnsi="Arial"/>
          <w:sz w:val="18"/>
          <w:szCs w:val="18"/>
          <w:color w:val="auto"/>
        </w:rPr>
        <w:t xml:space="preserve">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69"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xml:space="preserve">and reviewed the information we received from our agents from the Searches (the </w:t>
      </w:r>
      <w:r>
        <w:rPr>
          <w:rFonts w:ascii="Arial" w:cs="Arial" w:eastAsia="Arial" w:hAnsi="Arial"/>
          <w:sz w:val="18"/>
          <w:szCs w:val="18"/>
          <w:b w:val="1"/>
          <w:bCs w:val="1"/>
          <w:color w:val="auto"/>
        </w:rPr>
        <w:t>“Search Results”</w:t>
      </w:r>
      <w:r>
        <w:rPr>
          <w:rFonts w:ascii="Arial" w:cs="Arial" w:eastAsia="Arial" w:hAnsi="Arial"/>
          <w:sz w:val="18"/>
          <w:szCs w:val="18"/>
          <w:color w:val="auto"/>
        </w:rPr>
        <w:t>).</w:t>
      </w:r>
    </w:p>
    <w:p>
      <w:pPr>
        <w:spacing w:after="0" w:line="135" w:lineRule="exact"/>
        <w:rPr>
          <w:sz w:val="20"/>
          <w:szCs w:val="20"/>
          <w:color w:val="auto"/>
        </w:rPr>
      </w:pPr>
    </w:p>
    <w:p>
      <w:pPr>
        <w:ind w:left="544" w:right="20" w:hanging="544"/>
        <w:spacing w:after="0" w:line="264" w:lineRule="auto"/>
        <w:tabs>
          <w:tab w:leader="none" w:pos="5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purposes of giving this opinion, we have only examined and relied on those documents referred to in paragraph 2(a) and arranged or obtained the Searches and reviewed the Search Results. We have made no further enquiries concerning the Company or any other matter in connection with the giving of this opinion.</w:t>
      </w:r>
    </w:p>
    <w:p>
      <w:pPr>
        <w:spacing w:after="0" w:line="86" w:lineRule="exact"/>
        <w:rPr>
          <w:rFonts w:ascii="Arial" w:cs="Arial" w:eastAsia="Arial" w:hAnsi="Arial"/>
          <w:sz w:val="18"/>
          <w:szCs w:val="18"/>
          <w:color w:val="auto"/>
        </w:rPr>
      </w:pPr>
    </w:p>
    <w:p>
      <w:pPr>
        <w:ind w:left="544" w:right="360" w:hanging="544"/>
        <w:spacing w:after="0" w:line="308" w:lineRule="auto"/>
        <w:tabs>
          <w:tab w:leader="none" w:pos="544"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7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4" w:right="439" w:bottom="1440" w:gutter="0" w:footer="0" w:header="0"/>
        </w:sectPr>
      </w:pPr>
    </w:p>
    <w:bookmarkStart w:id="94" w:name="page95"/>
    <w:bookmarkEnd w:id="94"/>
    <w:p>
      <w:pPr>
        <w:ind w:left="440" w:hanging="436"/>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Assumptions</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giving this opinion we have assumed: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genuineness of all signatures, seals and stamps;</w:t>
      </w:r>
    </w:p>
    <w:p>
      <w:pPr>
        <w:spacing w:after="0" w:line="130" w:lineRule="exact"/>
        <w:rPr>
          <w:rFonts w:ascii="Arial" w:cs="Arial" w:eastAsia="Arial" w:hAnsi="Arial"/>
          <w:sz w:val="18"/>
          <w:szCs w:val="18"/>
          <w:color w:val="auto"/>
        </w:rPr>
      </w:pPr>
    </w:p>
    <w:p>
      <w:pPr>
        <w:ind w:left="1420" w:right="400" w:hanging="430"/>
        <w:spacing w:after="0" w:line="277" w:lineRule="auto"/>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that each of the individuals who signs as, or otherwise claims to be, an officer of the Company is the individual whom he or she claims to be and holds the office he or she claims to hold;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1420" w:right="460" w:hanging="430"/>
        <w:spacing w:after="0" w:line="277" w:lineRule="auto"/>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conformity with the original documents of all documents reviewed by us as drafts, specimens, pro formas or copies and the authenticity and completeness of all such original documents;</w:t>
      </w:r>
    </w:p>
    <w:p>
      <w:pPr>
        <w:spacing w:after="0" w:line="75" w:lineRule="exact"/>
        <w:rPr>
          <w:rFonts w:ascii="Arial" w:cs="Arial" w:eastAsia="Arial" w:hAnsi="Arial"/>
          <w:sz w:val="18"/>
          <w:szCs w:val="18"/>
          <w:color w:val="auto"/>
        </w:rPr>
      </w:pPr>
    </w:p>
    <w:p>
      <w:pPr>
        <w:ind w:left="1420" w:hanging="430"/>
        <w:spacing w:after="0" w:line="255" w:lineRule="auto"/>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that in relation to each of the meetings referred to in paragraphs 2(a)(iii)(B) and 2(a)(iii)(C)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it was duly convened, constituted and held in accordance with all applicable laws and regulations; that in particular, but without limitation, a duly qualified quorum of directors or, as the case may be, shareholders was present throughout the meeting and voted in favour of the resolutions; and that in the case of a board or board committee meeting each provision contained in the Companies Act 2006 or the articles of association of the Company relating to the declaration of directors’ interests or the power of interested directors to vote and to count in the quorum was duly observed;</w:t>
      </w:r>
    </w:p>
    <w:p>
      <w:pPr>
        <w:spacing w:after="0" w:line="98" w:lineRule="exact"/>
        <w:rPr>
          <w:rFonts w:ascii="Arial" w:cs="Arial" w:eastAsia="Arial" w:hAnsi="Arial"/>
          <w:sz w:val="18"/>
          <w:szCs w:val="18"/>
          <w:color w:val="auto"/>
        </w:rPr>
      </w:pPr>
    </w:p>
    <w:p>
      <w:pPr>
        <w:ind w:left="1420" w:right="60" w:hanging="430"/>
        <w:spacing w:after="0" w:line="342" w:lineRule="auto"/>
        <w:tabs>
          <w:tab w:leader="none" w:pos="1420" w:val="left"/>
        </w:tabs>
        <w:numPr>
          <w:ilvl w:val="2"/>
          <w:numId w:val="73"/>
        </w:numPr>
        <w:rPr>
          <w:rFonts w:ascii="Arial" w:cs="Arial" w:eastAsia="Arial" w:hAnsi="Arial"/>
          <w:sz w:val="16"/>
          <w:szCs w:val="16"/>
          <w:color w:val="auto"/>
        </w:rPr>
      </w:pPr>
      <w:r>
        <w:rPr>
          <w:rFonts w:ascii="Arial" w:cs="Arial" w:eastAsia="Arial" w:hAnsi="Arial"/>
          <w:sz w:val="16"/>
          <w:szCs w:val="16"/>
          <w:color w:val="auto"/>
        </w:rPr>
        <w:t>that the minutes referred to in paragraph 2(a)(iii)(B)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are a true record of the proceedings of the relevant meeting and that each resolution recorded in those minutes has not been amended or rescinded and remains in full force and effect;</w:t>
      </w:r>
    </w:p>
    <w:p>
      <w:pPr>
        <w:spacing w:after="0" w:line="29" w:lineRule="exact"/>
        <w:rPr>
          <w:rFonts w:ascii="Arial" w:cs="Arial" w:eastAsia="Arial" w:hAnsi="Arial"/>
          <w:sz w:val="16"/>
          <w:szCs w:val="16"/>
          <w:color w:val="auto"/>
        </w:rPr>
      </w:pPr>
    </w:p>
    <w:p>
      <w:pPr>
        <w:ind w:left="1420" w:right="600" w:hanging="430"/>
        <w:spacing w:after="0" w:line="308" w:lineRule="auto"/>
        <w:tabs>
          <w:tab w:leader="none" w:pos="1420" w:val="left"/>
        </w:tabs>
        <w:numPr>
          <w:ilvl w:val="2"/>
          <w:numId w:val="73"/>
        </w:numPr>
        <w:rPr>
          <w:rFonts w:ascii="Arial" w:cs="Arial" w:eastAsia="Arial" w:hAnsi="Arial"/>
          <w:sz w:val="17"/>
          <w:szCs w:val="17"/>
          <w:color w:val="auto"/>
        </w:rPr>
      </w:pPr>
      <w:r>
        <w:rPr>
          <w:rFonts w:ascii="Arial" w:cs="Arial" w:eastAsia="Arial" w:hAnsi="Arial"/>
          <w:sz w:val="17"/>
          <w:szCs w:val="17"/>
          <w:color w:val="auto"/>
        </w:rPr>
        <w:t>that the resolutions referred to in paragraph 2(a)(iii)(C) (</w:t>
      </w:r>
      <w:r>
        <w:rPr>
          <w:rFonts w:ascii="Arial" w:cs="Arial" w:eastAsia="Arial" w:hAnsi="Arial"/>
          <w:sz w:val="17"/>
          <w:szCs w:val="17"/>
          <w:i w:val="1"/>
          <w:iCs w:val="1"/>
          <w:color w:val="auto"/>
        </w:rPr>
        <w:t>Examination and enquiries</w:t>
      </w:r>
      <w:r>
        <w:rPr>
          <w:rFonts w:ascii="Arial" w:cs="Arial" w:eastAsia="Arial" w:hAnsi="Arial"/>
          <w:sz w:val="17"/>
          <w:szCs w:val="17"/>
          <w:color w:val="auto"/>
        </w:rPr>
        <w:t>) were duly passed in accordance with all applicable laws and regulations and have not been amended or rescinded and remain in full force and effect;</w:t>
      </w:r>
    </w:p>
    <w:p>
      <w:pPr>
        <w:spacing w:after="0" w:line="51" w:lineRule="exact"/>
        <w:rPr>
          <w:rFonts w:ascii="Arial" w:cs="Arial" w:eastAsia="Arial" w:hAnsi="Arial"/>
          <w:sz w:val="17"/>
          <w:szCs w:val="17"/>
          <w:color w:val="auto"/>
        </w:rPr>
      </w:pPr>
    </w:p>
    <w:p>
      <w:pPr>
        <w:ind w:left="1420" w:right="100" w:hanging="430"/>
        <w:spacing w:after="0" w:line="264" w:lineRule="auto"/>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that the directors of the Company acted in accordance with ss171 to 174 Companies Act 2006 in approving the resolutions recorded in the minutes referred to in paragraph 2(a)(iii)(B)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and that all actions to be carried out by the Company pursuant to those resolutions are in its commercial interests;</w:t>
      </w:r>
    </w:p>
    <w:p>
      <w:pPr>
        <w:spacing w:after="0" w:line="86" w:lineRule="exact"/>
        <w:rPr>
          <w:rFonts w:ascii="Arial" w:cs="Arial" w:eastAsia="Arial" w:hAnsi="Arial"/>
          <w:sz w:val="18"/>
          <w:szCs w:val="18"/>
          <w:color w:val="auto"/>
        </w:rPr>
      </w:pPr>
    </w:p>
    <w:p>
      <w:pPr>
        <w:jc w:val="both"/>
        <w:ind w:left="1420" w:right="120" w:hanging="430"/>
        <w:spacing w:after="0" w:line="264" w:lineRule="auto"/>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that, in relation to any document examined by us which is governed by the laws of any jurisdiction outside England and Wales, that document and the obligations created by it constitute the legal, valid, binding and enforceable obligations of each of the parties to it under the laws by which it is expressed to be governed;</w:t>
      </w:r>
    </w:p>
    <w:p>
      <w:pPr>
        <w:spacing w:after="0" w:line="86" w:lineRule="exact"/>
        <w:rPr>
          <w:rFonts w:ascii="Arial" w:cs="Arial" w:eastAsia="Arial" w:hAnsi="Arial"/>
          <w:sz w:val="18"/>
          <w:szCs w:val="18"/>
          <w:color w:val="auto"/>
        </w:rPr>
      </w:pPr>
    </w:p>
    <w:p>
      <w:pPr>
        <w:ind w:left="1420" w:hanging="430"/>
        <w:spacing w:after="0" w:line="264" w:lineRule="auto"/>
        <w:tabs>
          <w:tab w:leader="none" w:pos="1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95" w:name="page96"/>
    <w:bookmarkEnd w:id="95"/>
    <w:p>
      <w:pPr>
        <w:ind w:left="646" w:right="280" w:hanging="646"/>
        <w:spacing w:after="0" w:line="286" w:lineRule="auto"/>
        <w:tabs>
          <w:tab w:leader="none" w:pos="646" w:val="left"/>
        </w:tabs>
        <w:numPr>
          <w:ilvl w:val="0"/>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each consent, licence, approval, authorisation or order of any governmental authority or other person which is required under any applicable law in connection with the transactions contemplated by the Securities Purchase Agreement and the Registration Statement, has been or will have been obtained and is or will be in full force and effect;</w:t>
      </w:r>
    </w:p>
    <w:p>
      <w:pPr>
        <w:spacing w:after="0" w:line="70" w:lineRule="exact"/>
        <w:rPr>
          <w:rFonts w:ascii="Arial" w:cs="Arial" w:eastAsia="Arial" w:hAnsi="Arial"/>
          <w:sz w:val="17"/>
          <w:szCs w:val="17"/>
          <w:color w:val="auto"/>
        </w:rPr>
      </w:pPr>
    </w:p>
    <w:p>
      <w:pPr>
        <w:ind w:left="646" w:right="200" w:hanging="646"/>
        <w:spacing w:after="0" w:line="308" w:lineRule="auto"/>
        <w:tabs>
          <w:tab w:leader="none" w:pos="6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that the Company is and will at all relevant times remain in compliance with all applicable anti-corruption, anti-money laundering, anti-terrorism, sanctions, exchange control and human rights laws and regulations of any applicable jurisdiction;</w:t>
      </w:r>
    </w:p>
    <w:p>
      <w:pPr>
        <w:spacing w:after="0" w:line="51" w:lineRule="exact"/>
        <w:rPr>
          <w:rFonts w:ascii="Arial" w:cs="Arial" w:eastAsia="Arial" w:hAnsi="Arial"/>
          <w:sz w:val="17"/>
          <w:szCs w:val="17"/>
          <w:color w:val="auto"/>
        </w:rPr>
      </w:pPr>
    </w:p>
    <w:p>
      <w:pPr>
        <w:ind w:left="646" w:right="140" w:hanging="646"/>
        <w:spacing w:after="0" w:line="259"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transactions contemplated by, the Securities Purchase Agreement and the Registration Statement;</w:t>
      </w:r>
    </w:p>
    <w:p>
      <w:pPr>
        <w:spacing w:after="0" w:line="92" w:lineRule="exact"/>
        <w:rPr>
          <w:rFonts w:ascii="Arial" w:cs="Arial" w:eastAsia="Arial" w:hAnsi="Arial"/>
          <w:sz w:val="18"/>
          <w:szCs w:val="18"/>
          <w:color w:val="auto"/>
        </w:rPr>
      </w:pPr>
    </w:p>
    <w:p>
      <w:pPr>
        <w:ind w:left="646" w:right="160" w:hanging="646"/>
        <w:spacing w:after="0" w:line="277"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the information disclosed by the Searches is true, accurate, complete and up-to-date and that there is no information which, for any reason, should have been disclosed by those Searches and was not;</w:t>
      </w:r>
    </w:p>
    <w:p>
      <w:pPr>
        <w:spacing w:after="0" w:line="75" w:lineRule="exact"/>
        <w:rPr>
          <w:rFonts w:ascii="Arial" w:cs="Arial" w:eastAsia="Arial" w:hAnsi="Arial"/>
          <w:sz w:val="18"/>
          <w:szCs w:val="18"/>
          <w:color w:val="auto"/>
        </w:rPr>
      </w:pPr>
    </w:p>
    <w:p>
      <w:pPr>
        <w:ind w:left="646" w:hanging="646"/>
        <w:spacing w:after="0" w:line="259"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all applicable laws (for the avoidance of doubt, as in force at all relevant times) have been and will be complied with with respect to anything done in relation to the offering, sale, issue and (where applicable) allotment of the New Shares, including without limitation the Financial Services and Markets Act 2000, Regulation (EU) No. 596/2014 of the European Parliament and Regulation (EU) No. 2017/1129 of the European Parliament;</w:t>
      </w:r>
    </w:p>
    <w:p>
      <w:pPr>
        <w:spacing w:after="0" w:line="92" w:lineRule="exact"/>
        <w:rPr>
          <w:rFonts w:ascii="Arial" w:cs="Arial" w:eastAsia="Arial" w:hAnsi="Arial"/>
          <w:sz w:val="18"/>
          <w:szCs w:val="18"/>
          <w:color w:val="auto"/>
        </w:rPr>
      </w:pPr>
    </w:p>
    <w:p>
      <w:pPr>
        <w:ind w:left="646" w:hanging="646"/>
        <w:spacing w:after="0" w:line="255"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in relation to the allotment of the Further Shares, those Further Shares will be duly allotted by a valid resolution of the board of directors of the Company or committee of the board of directors duly passed, in accordance with the Company’s articles of association (for the avoidance of doubt, as in force at all relevant times) and the Companies Act 2006, and pursuant to (A) a valid authorisation under s551 Companies Act 2006 and (B) a valid power under s570 Companies Act 2006 to allot the Ordinary Shares as if s561 of that Act did not apply to the allotment; and that those sections of the Companies Act 2006 will continue in force unamended at all relevant times;</w:t>
      </w:r>
    </w:p>
    <w:p>
      <w:pPr>
        <w:spacing w:after="0" w:line="98" w:lineRule="exact"/>
        <w:rPr>
          <w:rFonts w:ascii="Arial" w:cs="Arial" w:eastAsia="Arial" w:hAnsi="Arial"/>
          <w:sz w:val="18"/>
          <w:szCs w:val="18"/>
          <w:color w:val="auto"/>
        </w:rPr>
      </w:pPr>
    </w:p>
    <w:p>
      <w:pPr>
        <w:ind w:left="646" w:right="220" w:hanging="646"/>
        <w:spacing w:after="0" w:line="277"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no pre-emptive rights or similar rights exist or have been created over or in respect of any New Shares other than pre-emption rights arising under s561 Companies Act 2006;</w:t>
      </w:r>
    </w:p>
    <w:p>
      <w:pPr>
        <w:spacing w:after="0" w:line="75" w:lineRule="exact"/>
        <w:rPr>
          <w:rFonts w:ascii="Arial" w:cs="Arial" w:eastAsia="Arial" w:hAnsi="Arial"/>
          <w:sz w:val="18"/>
          <w:szCs w:val="18"/>
          <w:color w:val="auto"/>
        </w:rPr>
      </w:pPr>
    </w:p>
    <w:p>
      <w:pPr>
        <w:ind w:left="646" w:right="440" w:hanging="646"/>
        <w:spacing w:after="0" w:line="312" w:lineRule="auto"/>
        <w:tabs>
          <w:tab w:leader="none" w:pos="6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that as at each date on which the Company allots and issues any Further Shares, the documents examined, and the results of the searches and enquiries made, as set out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would not be rendered untrue, inaccurate, incomplete or out-of-date in any relevant respect by reference to subsequent facts, matters, circumstances or events;</w:t>
      </w:r>
    </w:p>
    <w:p>
      <w:pPr>
        <w:spacing w:after="0" w:line="52" w:lineRule="exact"/>
        <w:rPr>
          <w:rFonts w:ascii="Arial" w:cs="Arial" w:eastAsia="Arial" w:hAnsi="Arial"/>
          <w:sz w:val="16"/>
          <w:szCs w:val="16"/>
          <w:color w:val="auto"/>
        </w:rPr>
      </w:pPr>
    </w:p>
    <w:p>
      <w:pPr>
        <w:ind w:left="646" w:right="560" w:hanging="646"/>
        <w:spacing w:after="0" w:line="277" w:lineRule="auto"/>
        <w:tabs>
          <w:tab w:leader="none" w:pos="6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as at each date on which the Company allotted or allots any New Shares, the Company received or will have received the aggregate consideration payable for those New Shares in full as “cash consideration” (as defined in</w:t>
      </w:r>
    </w:p>
    <w:p>
      <w:pPr>
        <w:spacing w:after="0" w:line="103"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46"/>
          </w:cols>
          <w:pgMar w:left="1214" w:top="274" w:right="439" w:bottom="1440" w:gutter="0" w:footer="0" w:header="0"/>
        </w:sectPr>
      </w:pPr>
    </w:p>
    <w:bookmarkStart w:id="96" w:name="page97"/>
    <w:bookmarkEnd w:id="96"/>
    <w:p>
      <w:pPr>
        <w:ind w:left="100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s583(3) Companies Act 2006), such aggregate consideration being not less than the nominal value of those New Shares; and that s583 Companies Act 2006 will continue in force unamended at all relevant times;</w:t>
      </w:r>
    </w:p>
    <w:p>
      <w:pPr>
        <w:spacing w:after="0" w:line="76" w:lineRule="exact"/>
        <w:rPr>
          <w:sz w:val="20"/>
          <w:szCs w:val="20"/>
          <w:color w:val="auto"/>
        </w:rPr>
      </w:pPr>
    </w:p>
    <w:p>
      <w:pPr>
        <w:ind w:left="984" w:hanging="646"/>
        <w:spacing w:after="0" w:line="276" w:lineRule="auto"/>
        <w:tabs>
          <w:tab w:leader="none" w:pos="984"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 examined or the searches and enquiries made by us in connection with the giving of this opinion;</w:t>
      </w:r>
    </w:p>
    <w:p>
      <w:pPr>
        <w:spacing w:after="0" w:line="77" w:lineRule="exact"/>
        <w:rPr>
          <w:rFonts w:ascii="Arial" w:cs="Arial" w:eastAsia="Arial" w:hAnsi="Arial"/>
          <w:sz w:val="17"/>
          <w:szCs w:val="17"/>
          <w:color w:val="auto"/>
        </w:rPr>
      </w:pPr>
    </w:p>
    <w:p>
      <w:pPr>
        <w:ind w:left="984" w:right="140" w:hanging="646"/>
        <w:spacing w:after="0" w:line="277" w:lineRule="auto"/>
        <w:tabs>
          <w:tab w:leader="none" w:pos="98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no allotment of New Shares will result in a requirement to make a mandatory offer under rule 9 of the City Code on Takeovers and Mergers; and</w:t>
      </w:r>
    </w:p>
    <w:p>
      <w:pPr>
        <w:spacing w:after="0" w:line="75" w:lineRule="exact"/>
        <w:rPr>
          <w:rFonts w:ascii="Arial" w:cs="Arial" w:eastAsia="Arial" w:hAnsi="Arial"/>
          <w:sz w:val="18"/>
          <w:szCs w:val="18"/>
          <w:color w:val="auto"/>
        </w:rPr>
      </w:pPr>
    </w:p>
    <w:p>
      <w:pPr>
        <w:ind w:left="984" w:right="100" w:hanging="646"/>
        <w:spacing w:after="0" w:line="291" w:lineRule="auto"/>
        <w:tabs>
          <w:tab w:leader="none" w:pos="984"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that resolutions of the board of directors of the Company or committee of the board of directors referred to in paragraph 3(a)(xvi) will be passed in each case at a meeting duly convened, constituted and held in accordance with all applicable laws and regulations; that in particular, but without limitation, a duly qualified quorum of directors will be present throughout the meeting and vote in favour of the resolutions; that each provision contained in the Companies Act 2006 or the articles of association of the Company relating to the declaration of directors’ interests or the power of interested directors to vote and count in the quorum will be duly observed; that in approving those resolutions the directors will act in accordance with ss171 to 174 Companies Act 2006; and that actions to be carried out by the Company pursuant to those resolutions will be in its commercial interests.</w:t>
      </w:r>
    </w:p>
    <w:p>
      <w:pPr>
        <w:spacing w:after="0" w:line="72" w:lineRule="exact"/>
        <w:rPr>
          <w:rFonts w:ascii="Arial" w:cs="Arial" w:eastAsia="Arial" w:hAnsi="Arial"/>
          <w:sz w:val="16"/>
          <w:szCs w:val="16"/>
          <w:color w:val="auto"/>
        </w:rPr>
      </w:pPr>
    </w:p>
    <w:p>
      <w:pPr>
        <w:ind w:left="544" w:right="660" w:hanging="544"/>
        <w:spacing w:after="0" w:line="277" w:lineRule="auto"/>
        <w:tabs>
          <w:tab w:leader="none" w:pos="5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relation to paragraph 3(a)(xiv), it should be noted that the information included in the Search Results may not be true, accurate, complete or up-to-date. In particular, but without limitation:</w:t>
      </w:r>
    </w:p>
    <w:p>
      <w:pPr>
        <w:spacing w:after="0" w:line="75" w:lineRule="exact"/>
        <w:rPr>
          <w:rFonts w:ascii="Arial" w:cs="Arial" w:eastAsia="Arial" w:hAnsi="Arial"/>
          <w:sz w:val="18"/>
          <w:szCs w:val="18"/>
          <w:color w:val="auto"/>
        </w:rPr>
      </w:pPr>
    </w:p>
    <w:p>
      <w:pPr>
        <w:ind w:left="984" w:right="340" w:hanging="430"/>
        <w:spacing w:after="0" w:line="308" w:lineRule="auto"/>
        <w:tabs>
          <w:tab w:leader="none" w:pos="984" w:val="left"/>
        </w:tabs>
        <w:numPr>
          <w:ilvl w:val="2"/>
          <w:numId w:val="76"/>
        </w:numPr>
        <w:rPr>
          <w:rFonts w:ascii="Arial" w:cs="Arial" w:eastAsia="Arial" w:hAnsi="Arial"/>
          <w:sz w:val="17"/>
          <w:szCs w:val="17"/>
          <w:color w:val="auto"/>
        </w:rPr>
      </w:pPr>
      <w:r>
        <w:rPr>
          <w:rFonts w:ascii="Arial" w:cs="Arial" w:eastAsia="Arial" w:hAnsi="Arial"/>
          <w:sz w:val="17"/>
          <w:szCs w:val="17"/>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51" w:lineRule="exact"/>
        <w:rPr>
          <w:rFonts w:ascii="Arial" w:cs="Arial" w:eastAsia="Arial" w:hAnsi="Arial"/>
          <w:sz w:val="17"/>
          <w:szCs w:val="17"/>
          <w:color w:val="auto"/>
        </w:rPr>
      </w:pPr>
    </w:p>
    <w:p>
      <w:pPr>
        <w:ind w:left="984" w:right="160" w:hanging="430"/>
        <w:spacing w:after="0" w:line="276" w:lineRule="auto"/>
        <w:tabs>
          <w:tab w:leader="none" w:pos="984" w:val="left"/>
        </w:tabs>
        <w:numPr>
          <w:ilvl w:val="2"/>
          <w:numId w:val="76"/>
        </w:numPr>
        <w:rPr>
          <w:rFonts w:ascii="Arial" w:cs="Arial" w:eastAsia="Arial" w:hAnsi="Arial"/>
          <w:sz w:val="17"/>
          <w:szCs w:val="17"/>
          <w:color w:val="auto"/>
        </w:rPr>
      </w:pPr>
      <w:r>
        <w:rPr>
          <w:rFonts w:ascii="Arial" w:cs="Arial" w:eastAsia="Arial" w:hAnsi="Arial"/>
          <w:sz w:val="17"/>
          <w:szCs w:val="17"/>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77" w:lineRule="exact"/>
        <w:rPr>
          <w:rFonts w:ascii="Arial" w:cs="Arial" w:eastAsia="Arial" w:hAnsi="Arial"/>
          <w:sz w:val="17"/>
          <w:szCs w:val="17"/>
          <w:color w:val="auto"/>
        </w:rPr>
      </w:pPr>
    </w:p>
    <w:p>
      <w:pPr>
        <w:ind w:left="984" w:right="120" w:hanging="430"/>
        <w:spacing w:after="0" w:line="264" w:lineRule="auto"/>
        <w:tabs>
          <w:tab w:leader="none" w:pos="984"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w:t>
      </w:r>
    </w:p>
    <w:p>
      <w:pPr>
        <w:spacing w:after="0" w:line="11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97" w:name="page98"/>
    <w:bookmarkEnd w:id="97"/>
    <w:p>
      <w:pPr>
        <w:ind w:left="1436"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 petition, or the making of such an application, may not have been notified to the Central Registry or entered on its records immediately or, if presented to a County Court or Chancery District Registry, at all; and</w:t>
      </w:r>
    </w:p>
    <w:p>
      <w:pPr>
        <w:spacing w:after="0" w:line="76" w:lineRule="exact"/>
        <w:rPr>
          <w:sz w:val="20"/>
          <w:szCs w:val="20"/>
          <w:color w:val="auto"/>
        </w:rPr>
      </w:pPr>
    </w:p>
    <w:p>
      <w:pPr>
        <w:ind w:left="1416" w:hanging="430"/>
        <w:spacing w:after="0"/>
        <w:tabs>
          <w:tab w:leader="none" w:pos="1416" w:val="left"/>
        </w:tabs>
        <w:numPr>
          <w:ilvl w:val="2"/>
          <w:numId w:val="77"/>
        </w:numPr>
        <w:rPr>
          <w:rFonts w:ascii="Arial" w:cs="Arial" w:eastAsia="Arial" w:hAnsi="Arial"/>
          <w:sz w:val="18"/>
          <w:szCs w:val="18"/>
          <w:color w:val="auto"/>
        </w:rPr>
      </w:pPr>
      <w:r>
        <w:rPr>
          <w:rFonts w:ascii="Arial" w:cs="Arial" w:eastAsia="Arial" w:hAnsi="Arial"/>
          <w:sz w:val="18"/>
          <w:szCs w:val="18"/>
          <w:color w:val="auto"/>
        </w:rPr>
        <w:t>in each case, further information might have become available on the relevant register after the Searches were made.</w:t>
      </w:r>
    </w:p>
    <w:p>
      <w:pPr>
        <w:spacing w:after="0" w:line="369" w:lineRule="exact"/>
        <w:rPr>
          <w:rFonts w:ascii="Arial" w:cs="Arial" w:eastAsia="Arial" w:hAnsi="Arial"/>
          <w:sz w:val="18"/>
          <w:szCs w:val="18"/>
          <w:color w:val="auto"/>
        </w:rPr>
      </w:pPr>
    </w:p>
    <w:p>
      <w:pPr>
        <w:ind w:left="436" w:hanging="436"/>
        <w:spacing w:after="0"/>
        <w:tabs>
          <w:tab w:leader="none" w:pos="436"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34" w:lineRule="exact"/>
        <w:rPr>
          <w:rFonts w:ascii="Arial" w:cs="Arial" w:eastAsia="Arial" w:hAnsi="Arial"/>
          <w:sz w:val="18"/>
          <w:szCs w:val="18"/>
          <w:color w:val="auto"/>
        </w:rPr>
      </w:pPr>
    </w:p>
    <w:p>
      <w:pPr>
        <w:ind w:left="976" w:right="520" w:hanging="544"/>
        <w:spacing w:after="0" w:line="342" w:lineRule="auto"/>
        <w:tabs>
          <w:tab w:leader="none" w:pos="976" w:val="left"/>
        </w:tabs>
        <w:numPr>
          <w:ilvl w:val="1"/>
          <w:numId w:val="78"/>
        </w:numPr>
        <w:rPr>
          <w:rFonts w:ascii="Arial" w:cs="Arial" w:eastAsia="Arial" w:hAnsi="Arial"/>
          <w:sz w:val="16"/>
          <w:szCs w:val="16"/>
          <w:color w:val="auto"/>
        </w:rPr>
      </w:pPr>
      <w:r>
        <w:rPr>
          <w:rFonts w:ascii="Arial" w:cs="Arial" w:eastAsia="Arial" w:hAnsi="Arial"/>
          <w:sz w:val="16"/>
          <w:szCs w:val="16"/>
          <w:color w:val="auto"/>
        </w:rPr>
        <w:t>On the basis of the examination and enquiries referred to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and the assumptions made in paragraph 3 (</w:t>
      </w:r>
      <w:r>
        <w:rPr>
          <w:rFonts w:ascii="Arial" w:cs="Arial" w:eastAsia="Arial" w:hAnsi="Arial"/>
          <w:sz w:val="16"/>
          <w:szCs w:val="16"/>
          <w:i w:val="1"/>
          <w:iCs w:val="1"/>
          <w:color w:val="auto"/>
        </w:rPr>
        <w:t>Assumptions</w:t>
      </w:r>
      <w:r>
        <w:rPr>
          <w:rFonts w:ascii="Arial" w:cs="Arial" w:eastAsia="Arial" w:hAnsi="Arial"/>
          <w:sz w:val="16"/>
          <w:szCs w:val="16"/>
          <w:color w:val="auto"/>
        </w:rPr>
        <w:t>) and subject to the qualifications set out in paragraph 5 (</w:t>
      </w:r>
      <w:r>
        <w:rPr>
          <w:rFonts w:ascii="Arial" w:cs="Arial" w:eastAsia="Arial" w:hAnsi="Arial"/>
          <w:sz w:val="16"/>
          <w:szCs w:val="16"/>
          <w:i w:val="1"/>
          <w:iCs w:val="1"/>
          <w:color w:val="auto"/>
        </w:rPr>
        <w:t>Qualifications</w:t>
      </w:r>
      <w:r>
        <w:rPr>
          <w:rFonts w:ascii="Arial" w:cs="Arial" w:eastAsia="Arial" w:hAnsi="Arial"/>
          <w:sz w:val="16"/>
          <w:szCs w:val="16"/>
          <w:color w:val="auto"/>
        </w:rPr>
        <w:t>), we are of the opinion that:</w:t>
      </w:r>
    </w:p>
    <w:p>
      <w:pPr>
        <w:spacing w:after="0" w:line="29" w:lineRule="exact"/>
        <w:rPr>
          <w:rFonts w:ascii="Arial" w:cs="Arial" w:eastAsia="Arial" w:hAnsi="Arial"/>
          <w:sz w:val="16"/>
          <w:szCs w:val="16"/>
          <w:color w:val="auto"/>
        </w:rPr>
      </w:pPr>
    </w:p>
    <w:p>
      <w:pPr>
        <w:ind w:left="1416" w:hanging="430"/>
        <w:spacing w:after="0" w:line="259" w:lineRule="auto"/>
        <w:tabs>
          <w:tab w:leader="none" w:pos="1416" w:val="left"/>
        </w:tabs>
        <w:numPr>
          <w:ilvl w:val="2"/>
          <w:numId w:val="78"/>
        </w:numPr>
        <w:rPr>
          <w:rFonts w:ascii="Arial" w:cs="Arial" w:eastAsia="Arial" w:hAnsi="Arial"/>
          <w:sz w:val="18"/>
          <w:szCs w:val="18"/>
          <w:color w:val="auto"/>
        </w:rPr>
      </w:pPr>
      <w:r>
        <w:rPr>
          <w:rFonts w:ascii="Arial" w:cs="Arial" w:eastAsia="Arial" w:hAnsi="Arial"/>
          <w:sz w:val="18"/>
          <w:szCs w:val="18"/>
          <w:color w:val="auto"/>
        </w:rPr>
        <w:t>in relation to the Initial Shares, upon receipt of the aggregate consideration for those Initial Shares in accordance with the Securities Purchase Agreement, entry of the names of the appropriate persons in the Company’s register of members, and admission of those Initial Shares to trading on AIM, the Initial Shares will have been validly issued, fully paid and no further amount may be called thereon; and</w:t>
      </w:r>
    </w:p>
    <w:p>
      <w:pPr>
        <w:spacing w:after="0" w:line="92" w:lineRule="exact"/>
        <w:rPr>
          <w:rFonts w:ascii="Arial" w:cs="Arial" w:eastAsia="Arial" w:hAnsi="Arial"/>
          <w:sz w:val="18"/>
          <w:szCs w:val="18"/>
          <w:color w:val="auto"/>
        </w:rPr>
      </w:pPr>
    </w:p>
    <w:p>
      <w:pPr>
        <w:ind w:left="1416" w:hanging="430"/>
        <w:spacing w:after="0" w:line="259" w:lineRule="auto"/>
        <w:tabs>
          <w:tab w:leader="none" w:pos="1416" w:val="left"/>
        </w:tabs>
        <w:numPr>
          <w:ilvl w:val="2"/>
          <w:numId w:val="78"/>
        </w:numPr>
        <w:rPr>
          <w:rFonts w:ascii="Arial" w:cs="Arial" w:eastAsia="Arial" w:hAnsi="Arial"/>
          <w:sz w:val="18"/>
          <w:szCs w:val="18"/>
          <w:color w:val="auto"/>
        </w:rPr>
      </w:pPr>
      <w:r>
        <w:rPr>
          <w:rFonts w:ascii="Arial" w:cs="Arial" w:eastAsia="Arial" w:hAnsi="Arial"/>
          <w:sz w:val="18"/>
          <w:szCs w:val="18"/>
          <w:color w:val="auto"/>
        </w:rPr>
        <w:t>in relation to Further Shares, upon receipt of the aggregate consideration for those Further Shares in accordance with the Securities Purchase Agreement, entry of the names of the appropriate persons in the Company’s register of members, and admission of those Further Shares to trading on AIM, the relevant Further Shares will be validly issued, fully paid and no further amount may be called thereon.</w:t>
      </w:r>
    </w:p>
    <w:p>
      <w:pPr>
        <w:spacing w:after="0" w:line="92" w:lineRule="exact"/>
        <w:rPr>
          <w:rFonts w:ascii="Arial" w:cs="Arial" w:eastAsia="Arial" w:hAnsi="Arial"/>
          <w:sz w:val="18"/>
          <w:szCs w:val="18"/>
          <w:color w:val="auto"/>
        </w:rPr>
      </w:pPr>
    </w:p>
    <w:p>
      <w:pPr>
        <w:ind w:left="976" w:right="40" w:hanging="544"/>
        <w:spacing w:after="0" w:line="277" w:lineRule="auto"/>
        <w:tabs>
          <w:tab w:leader="none" w:pos="97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opinion is strictly limited to the matters expressly stated in this paragraph 4 and is not to be construed as extending by implication to any other matter.</w:t>
      </w:r>
    </w:p>
    <w:p>
      <w:pPr>
        <w:spacing w:after="0" w:line="315" w:lineRule="exact"/>
        <w:rPr>
          <w:rFonts w:ascii="Arial" w:cs="Arial" w:eastAsia="Arial" w:hAnsi="Arial"/>
          <w:sz w:val="18"/>
          <w:szCs w:val="18"/>
          <w:color w:val="auto"/>
        </w:rPr>
      </w:pPr>
    </w:p>
    <w:p>
      <w:pPr>
        <w:ind w:left="436" w:hanging="436"/>
        <w:spacing w:after="0"/>
        <w:tabs>
          <w:tab w:leader="none" w:pos="436"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976" w:hanging="544"/>
        <w:spacing w:after="0"/>
        <w:tabs>
          <w:tab w:leader="none" w:pos="97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opinions set out in paragraph 4 (</w:t>
      </w:r>
      <w:r>
        <w:rPr>
          <w:rFonts w:ascii="Arial" w:cs="Arial" w:eastAsia="Arial" w:hAnsi="Arial"/>
          <w:sz w:val="18"/>
          <w:szCs w:val="18"/>
          <w:i w:val="1"/>
          <w:iCs w:val="1"/>
          <w:color w:val="auto"/>
        </w:rPr>
        <w:t>Opinion</w:t>
      </w:r>
      <w:r>
        <w:rPr>
          <w:rFonts w:ascii="Arial" w:cs="Arial" w:eastAsia="Arial" w:hAnsi="Arial"/>
          <w:sz w:val="18"/>
          <w:szCs w:val="18"/>
          <w:color w:val="auto"/>
        </w:rPr>
        <w:t>) are subject to the qualifications set out in the remainder of this paragraph 5.</w:t>
      </w:r>
    </w:p>
    <w:p>
      <w:pPr>
        <w:spacing w:after="0" w:line="130" w:lineRule="exact"/>
        <w:rPr>
          <w:rFonts w:ascii="Arial" w:cs="Arial" w:eastAsia="Arial" w:hAnsi="Arial"/>
          <w:sz w:val="18"/>
          <w:szCs w:val="18"/>
          <w:color w:val="auto"/>
        </w:rPr>
      </w:pPr>
    </w:p>
    <w:p>
      <w:pPr>
        <w:ind w:left="976" w:right="360" w:hanging="544"/>
        <w:spacing w:after="0" w:line="264" w:lineRule="auto"/>
        <w:tabs>
          <w:tab w:leader="none" w:pos="976" w:val="left"/>
        </w:tabs>
        <w:numPr>
          <w:ilvl w:val="1"/>
          <w:numId w:val="78"/>
        </w:numPr>
        <w:rPr>
          <w:rFonts w:ascii="Arial" w:cs="Arial" w:eastAsia="Arial" w:hAnsi="Arial"/>
          <w:sz w:val="18"/>
          <w:szCs w:val="18"/>
          <w:color w:val="auto"/>
        </w:rPr>
      </w:pPr>
      <w:r>
        <w:rPr>
          <w:rFonts w:ascii="Arial" w:cs="Arial" w:eastAsia="Arial" w:hAnsi="Arial"/>
          <w:sz w:val="18"/>
          <w:szCs w:val="18"/>
          <w:color w:val="auto"/>
        </w:rPr>
        <w:t>We express no opinion as to matters of United Kingdom taxation or any liability to tax (including, without limitation, stamp duty and stamp duty reserve tax) which may arise or be incurred as a result of or in connection with the New Shares or the transactions contemplated thereby, or as to tax matters generally.</w:t>
      </w:r>
    </w:p>
    <w:p>
      <w:pPr>
        <w:spacing w:after="0" w:line="86" w:lineRule="exact"/>
        <w:rPr>
          <w:rFonts w:ascii="Arial" w:cs="Arial" w:eastAsia="Arial" w:hAnsi="Arial"/>
          <w:sz w:val="18"/>
          <w:szCs w:val="18"/>
          <w:color w:val="auto"/>
        </w:rPr>
      </w:pPr>
    </w:p>
    <w:p>
      <w:pPr>
        <w:ind w:left="976" w:right="580" w:hanging="544"/>
        <w:spacing w:after="0" w:line="277" w:lineRule="auto"/>
        <w:tabs>
          <w:tab w:leader="none" w:pos="97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opinions set out in paragraph 4(a) (</w:t>
      </w:r>
      <w:r>
        <w:rPr>
          <w:rFonts w:ascii="Arial" w:cs="Arial" w:eastAsia="Arial" w:hAnsi="Arial"/>
          <w:sz w:val="18"/>
          <w:szCs w:val="18"/>
          <w:i w:val="1"/>
          <w:iCs w:val="1"/>
          <w:color w:val="auto"/>
        </w:rPr>
        <w:t>Opinion</w:t>
      </w:r>
      <w:r>
        <w:rPr>
          <w:rFonts w:ascii="Arial" w:cs="Arial" w:eastAsia="Arial" w:hAnsi="Arial"/>
          <w:sz w:val="18"/>
          <w:szCs w:val="18"/>
          <w:color w:val="auto"/>
        </w:rPr>
        <w:t>) relate only to New Shares allotted and issued pursuant to the Securities Purchase Agreement. We express no opinion in respect of any other securities of the Company.</w:t>
      </w:r>
    </w:p>
    <w:p>
      <w:pPr>
        <w:spacing w:after="0" w:line="315" w:lineRule="exact"/>
        <w:rPr>
          <w:rFonts w:ascii="Arial" w:cs="Arial" w:eastAsia="Arial" w:hAnsi="Arial"/>
          <w:sz w:val="18"/>
          <w:szCs w:val="18"/>
          <w:color w:val="auto"/>
        </w:rPr>
      </w:pPr>
    </w:p>
    <w:p>
      <w:pPr>
        <w:ind w:left="436" w:hanging="436"/>
        <w:spacing w:after="0"/>
        <w:tabs>
          <w:tab w:leader="none" w:pos="436"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Law</w:t>
      </w:r>
    </w:p>
    <w:p>
      <w:pPr>
        <w:spacing w:after="0" w:line="134" w:lineRule="exact"/>
        <w:rPr>
          <w:rFonts w:ascii="Arial" w:cs="Arial" w:eastAsia="Arial" w:hAnsi="Arial"/>
          <w:sz w:val="18"/>
          <w:szCs w:val="18"/>
          <w:color w:val="auto"/>
        </w:rPr>
      </w:pPr>
    </w:p>
    <w:p>
      <w:pPr>
        <w:ind w:left="976" w:right="100" w:hanging="544"/>
        <w:spacing w:after="0" w:line="277" w:lineRule="auto"/>
        <w:tabs>
          <w:tab w:leader="none" w:pos="976"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This opinion and any non-contractual obligations arising out of or in connection with this opinion shall be governed by, and construed in accordance with, English law.</w:t>
      </w:r>
    </w:p>
    <w:p>
      <w:pPr>
        <w:spacing w:after="0" w:line="75" w:lineRule="exact"/>
        <w:rPr>
          <w:rFonts w:ascii="Arial" w:cs="Arial" w:eastAsia="Arial" w:hAnsi="Arial"/>
          <w:sz w:val="18"/>
          <w:szCs w:val="18"/>
          <w:color w:val="auto"/>
        </w:rPr>
      </w:pPr>
    </w:p>
    <w:p>
      <w:pPr>
        <w:ind w:left="976" w:right="400" w:hanging="544"/>
        <w:spacing w:after="0" w:line="342" w:lineRule="auto"/>
        <w:tabs>
          <w:tab w:leader="none" w:pos="976"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This opinion relates only to English law (being for these purposes, except to the extent we make specific reference to an English law “conflict of law” (private international law) rule or principle, English domestic law on the assumption that English domestic</w:t>
      </w:r>
    </w:p>
    <w:p>
      <w:pPr>
        <w:spacing w:after="0" w:line="56"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16"/>
          </w:cols>
          <w:pgMar w:left="444" w:top="274" w:right="539" w:bottom="1440" w:gutter="0" w:footer="0" w:header="0"/>
        </w:sectPr>
      </w:pPr>
    </w:p>
    <w:bookmarkStart w:id="98" w:name="page99"/>
    <w:bookmarkEnd w:id="98"/>
    <w:p>
      <w:pPr>
        <w:ind w:left="980"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 applies to all relevant issues) as applied by the English courts as at today’s date, including the laws of the European Union to the extent having the force of law in England by virtue of s1A European Union (Withdrawal) Act 2018 (as introduced by s1 European Union (Withdrawal Agreement) Act 2020). In construing any European Union directive or regulation, we have read only the English version.</w:t>
      </w:r>
    </w:p>
    <w:p>
      <w:pPr>
        <w:spacing w:after="0" w:line="52" w:lineRule="exact"/>
        <w:rPr>
          <w:sz w:val="20"/>
          <w:szCs w:val="20"/>
          <w:color w:val="auto"/>
        </w:rPr>
      </w:pPr>
    </w:p>
    <w:p>
      <w:pPr>
        <w:ind w:left="980" w:hanging="544"/>
        <w:spacing w:after="0"/>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do not undertake or accept any obligation to update this opinion to reflect subsequent changes in English law or factual matters.</w:t>
      </w:r>
    </w:p>
    <w:p>
      <w:pPr>
        <w:spacing w:after="0" w:line="142" w:lineRule="exact"/>
        <w:rPr>
          <w:rFonts w:ascii="Arial" w:cs="Arial" w:eastAsia="Arial" w:hAnsi="Arial"/>
          <w:sz w:val="17"/>
          <w:szCs w:val="17"/>
          <w:color w:val="auto"/>
        </w:rPr>
      </w:pPr>
    </w:p>
    <w:p>
      <w:pPr>
        <w:ind w:left="980" w:hanging="544"/>
        <w:spacing w:after="0" w:line="259"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express no opinion as to, and we have not investigated for the purposes of this opinion, the laws of any jurisdiction other than England. It is assumed that no foreign law which may apply to the matters contemplated by the Securities Purchase Agreement and the Registration Statement, or any document relating to, or any party to, any transaction contemplated by the Securities Purchase Agreement or the Registration Statement, would or might affect this opinion.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Mayer Brown International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22383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Mayer Brown International LLP</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F-1) and related Prospectus of Mereo Biopharma Group plc for the registration of shares of its common stock and to the incorporation by reference therein of our report dated April 29, 2019, with respect to the consolidated financial statements of Mereo Biopharma Group plc as of December 2018 and 2017 and for the three years in the period ended December 31, 2018 included in its Annual Report (Form 20-F) for the year ended December 31, 2018, filed with the Securities and Exchange Commission.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2020</w:t>
      </w:r>
    </w:p>
    <w:p>
      <w:pPr>
        <w:sectPr>
          <w:pgSz w:w="11900" w:h="16838" w:orient="portrait"/>
          <w:cols w:equalWidth="0" w:num="1">
            <w:col w:w="11020"/>
          </w:cols>
          <w:pgMar w:left="440" w:top="121"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F-1) and related Prospectus of Mereo BioPharma Group plc for the registration of ordinary shares and to the incorporation by reference therein of our reports dated March 7, 2019, with respect to the financial statements of OncoMed Pharmaceuticals, Inc., and the effectiveness of internal control over financial reporting of OncoMed Pharmaceuticals, Inc., included in its Annual Report (Form 10-K) for the year ended December 31, 2018,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lvl w:ilvl="1">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4"/>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lvl w:ilvl="1">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lowerLetter"/>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lowerRoman"/>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2">
    <w:nsid w:val="799D0247"/>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63">
    <w:nsid w:val="6B94764"/>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64">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5">
    <w:nsid w:val="168E121F"/>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66">
    <w:nsid w:val="1EBA5D2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decimal"/>
      <w:start w:val="1"/>
    </w:lvl>
    <w:lvl w:ilvl="1">
      <w:lvlJc w:val="left"/>
      <w:lvlText w:val="(%2)"/>
      <w:numFmt w:val="lowerLetter"/>
      <w:start w:val="1"/>
    </w:lvl>
  </w:abstractNum>
  <w:abstractNum w:abstractNumId="69">
    <w:nsid w:val="540A47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0">
    <w:nsid w:val="7BD3EE7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1">
    <w:nsid w:val="51D9C564"/>
    <w:multiLevelType w:val="hybridMultilevel"/>
    <w:lvl w:ilvl="0">
      <w:lvlJc w:val="left"/>
      <w:lvlText w:val="(%1)"/>
      <w:numFmt w:val="lowerLetter"/>
      <w:start w:val="3"/>
    </w:lvl>
  </w:abstractNum>
  <w:abstractNum w:abstractNumId="72">
    <w:nsid w:val="613EFDC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3">
    <w:nsid w:val="BF72B14"/>
    <w:multiLevelType w:val="hybridMultilevel"/>
    <w:lvl w:ilvl="0">
      <w:lvlJc w:val="left"/>
      <w:lvlText w:val="(%1)"/>
      <w:numFmt w:val="lowerRoman"/>
      <w:start w:val="11"/>
    </w:lvl>
  </w:abstractNum>
  <w:abstractNum w:abstractNumId="74">
    <w:nsid w:val="11447B73"/>
    <w:multiLevelType w:val="hybridMultilevel"/>
    <w:lvl w:ilvl="0">
      <w:lvlJc w:val="left"/>
      <w:lvlText w:val="%1"/>
      <w:numFmt w:val="lowerLetter"/>
      <w:start w:val="1"/>
    </w:lvl>
    <w:lvl w:ilvl="1">
      <w:lvlJc w:val="left"/>
      <w:lvlText w:val="(%2)"/>
      <w:numFmt w:val="lowerRoman"/>
      <w:start w:val="20"/>
    </w:lvl>
    <w:lvl w:ilvl="2">
      <w:lvlJc w:val="left"/>
      <w:lvlText w:val="%3"/>
      <w:numFmt w:val="lowerRoman"/>
      <w:start w:val="1"/>
    </w:lvl>
  </w:abstractNum>
  <w:abstractNum w:abstractNumId="75">
    <w:nsid w:val="42963E5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7">
    <w:nsid w:val="8F2B15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
    <w:nsid w:val="1A32234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jpe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35" Type="http://schemas.openxmlformats.org/officeDocument/2006/relationships/hyperlink" Target="http://www.sec.gov/Archives/edgar/data/1719714/000119312520039926/d891073d6k.htm" TargetMode="External"/><Relationship Id="rId136" Type="http://schemas.openxmlformats.org/officeDocument/2006/relationships/hyperlink" Target="http://www.sec.gov/Archives/edgar/data/1719714/000119312520032479/d879415d6k.htm" TargetMode="External"/><Relationship Id="rId137" Type="http://schemas.openxmlformats.org/officeDocument/2006/relationships/hyperlink" Target="http://www.sec.gov/Archives/edgar/data/1719714/000119312519246280/d800241d6k.htm" TargetMode="External"/><Relationship Id="rId138" Type="http://schemas.openxmlformats.org/officeDocument/2006/relationships/hyperlink" Target="http://www.sec.gov/Archives/edgar/data/1719714/000119312519125560/d734372d20f.htm" TargetMode="External"/><Relationship Id="rId139" Type="http://schemas.openxmlformats.org/officeDocument/2006/relationships/hyperlink" Target="http://www.sec.gov/Archives/edgar/data/1302573/000156459019006795/omed-10k_20181231.htm" TargetMode="External"/><Relationship Id="rId140" Type="http://schemas.openxmlformats.org/officeDocument/2006/relationships/hyperlink" Target="http://www.sec.gov/Archives/edgar/data/1719714/000119312518111700/d566514d8a12b.htm" TargetMode="External"/><Relationship Id="rId157" Type="http://schemas.openxmlformats.org/officeDocument/2006/relationships/hyperlink" Target="http://www.sec.gov/Archives/edgar/data/1719714/000119312519016112/d680874dex31.htm" TargetMode="External"/><Relationship Id="rId158" Type="http://schemas.openxmlformats.org/officeDocument/2006/relationships/hyperlink" Target="http://www.sec.gov/Archives/edgar/data/1719714/000119312519016112/d680874dex42.htm" TargetMode="External"/><Relationship Id="rId159" Type="http://schemas.openxmlformats.org/officeDocument/2006/relationships/hyperlink" Target="http://www.sec.gov/Archives/edgar/data/1719714/000119312520029019/d884665dex101.htm" TargetMode="External"/><Relationship Id="rId160" Type="http://schemas.openxmlformats.org/officeDocument/2006/relationships/hyperlink" Target="http://www.sec.gov/Archives/edgar/data/1719714/000119312520029019/d884665dex102.htm" TargetMode="External"/><Relationship Id="rId161" Type="http://schemas.openxmlformats.org/officeDocument/2006/relationships/hyperlink" Target="http://www.sec.gov/Archives/edgar/data/1719714/000119312519125560/d734372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2020-02-18T16:18:03Z</dcterms:created>
  <dcterms:modified xsi:type="dcterms:W3CDTF">2020-02-18T16:18:03Z</dcterms:modified>
</cp:coreProperties>
</file>