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740"/>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 2)*</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Ordinary shares, nominal value £0.003 per share¹</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589492107²</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2022</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79"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65"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sz w:val="24"/>
          <w:szCs w:val="24"/>
          <w:color w:val="auto"/>
        </w:rPr>
      </w:pPr>
    </w:p>
    <w:p>
      <w:pPr>
        <w:spacing w:after="0" w:line="303" w:lineRule="exact"/>
        <w:rPr>
          <w:sz w:val="24"/>
          <w:szCs w:val="24"/>
          <w:color w:val="auto"/>
        </w:rPr>
      </w:pPr>
    </w:p>
    <w:p>
      <w:pPr>
        <w:ind w:right="3900"/>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exact"/>
        <w:rPr>
          <w:sz w:val="24"/>
          <w:szCs w:val="24"/>
          <w:color w:val="auto"/>
        </w:rPr>
      </w:pPr>
    </w:p>
    <w:p>
      <w:pPr>
        <w:ind w:right="3820"/>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22"/>
          <w:szCs w:val="22"/>
          <w:color w:val="auto"/>
        </w:rPr>
        <w:t>1The holdings reported herein are held in the form of American Depositary Shares ("ADS"), which each represent five (5) ordinary shares, nominal value £0.003 per ordinary share of the Issuer (“Ordinary Shares”). 2The CUSIP Number listed throughout this filing is the CUSIP assigned to the ADS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220"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3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900" w:type="dxa"/>
            <w:vAlign w:val="bottom"/>
          </w:tcPr>
          <w:p>
            <w:pPr>
              <w:jc w:val="right"/>
              <w:ind w:right="1692"/>
              <w:spacing w:after="0"/>
              <w:rPr>
                <w:sz w:val="20"/>
                <w:szCs w:val="20"/>
                <w:color w:val="auto"/>
              </w:rPr>
            </w:pPr>
            <w:r>
              <w:rPr>
                <w:rFonts w:ascii="Arial" w:cs="Arial" w:eastAsia="Arial" w:hAnsi="Arial"/>
                <w:sz w:val="22"/>
                <w:szCs w:val="22"/>
                <w:color w:val="auto"/>
              </w:rPr>
              <w:t>CUSIP No. 589492107</w:t>
            </w:r>
          </w:p>
        </w:tc>
        <w:tc>
          <w:tcPr>
            <w:tcW w:w="248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900" w:type="dxa"/>
            <w:vAlign w:val="bottom"/>
          </w:tcPr>
          <w:p>
            <w:pPr>
              <w:jc w:val="right"/>
              <w:ind w:right="2832"/>
              <w:spacing w:after="0"/>
              <w:rPr>
                <w:sz w:val="20"/>
                <w:szCs w:val="20"/>
                <w:color w:val="auto"/>
              </w:rPr>
            </w:pPr>
            <w:r>
              <w:rPr>
                <w:rFonts w:ascii="Arial" w:cs="Arial" w:eastAsia="Arial" w:hAnsi="Arial"/>
                <w:sz w:val="22"/>
                <w:szCs w:val="22"/>
                <w:color w:val="auto"/>
                <w:w w:val="91"/>
              </w:rPr>
              <w:t>Point72 Asset Management, L.P.</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40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480" w:type="dxa"/>
            <w:vAlign w:val="bottom"/>
          </w:tcPr>
          <w:p>
            <w:pPr>
              <w:ind w:left="1800"/>
              <w:spacing w:after="0"/>
              <w:rPr>
                <w:sz w:val="20"/>
                <w:szCs w:val="20"/>
                <w:color w:val="auto"/>
              </w:rPr>
            </w:pPr>
            <w:r>
              <w:rPr>
                <w:rFonts w:ascii="Arial" w:cs="Arial" w:eastAsia="Arial" w:hAnsi="Arial"/>
                <w:sz w:val="22"/>
                <w:szCs w:val="22"/>
                <w:color w:val="auto"/>
              </w:rPr>
              <w:t>(a)</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900" w:type="dxa"/>
            <w:vAlign w:val="bottom"/>
          </w:tcPr>
          <w:p>
            <w:pPr>
              <w:jc w:val="right"/>
              <w:ind w:right="3932"/>
              <w:spacing w:after="0"/>
              <w:rPr>
                <w:sz w:val="20"/>
                <w:szCs w:val="20"/>
                <w:color w:val="auto"/>
              </w:rPr>
            </w:pPr>
            <w:r>
              <w:rPr>
                <w:rFonts w:ascii="Arial" w:cs="Arial" w:eastAsia="Arial" w:hAnsi="Arial"/>
                <w:sz w:val="22"/>
                <w:szCs w:val="22"/>
                <w:color w:val="auto"/>
              </w:rPr>
              <w:t>(see instructions)</w:t>
            </w:r>
          </w:p>
        </w:tc>
        <w:tc>
          <w:tcPr>
            <w:tcW w:w="2480" w:type="dxa"/>
            <w:vAlign w:val="bottom"/>
          </w:tcPr>
          <w:p>
            <w:pPr>
              <w:ind w:left="180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9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40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480" w:type="dxa"/>
            <w:vAlign w:val="bottom"/>
          </w:tcPr>
          <w:p>
            <w:pPr>
              <w:spacing w:after="0"/>
              <w:rPr>
                <w:sz w:val="24"/>
                <w:szCs w:val="24"/>
                <w:color w:val="auto"/>
              </w:rPr>
            </w:pPr>
          </w:p>
        </w:tc>
      </w:tr>
      <w:tr>
        <w:trPr>
          <w:trHeight w:val="37"/>
        </w:trPr>
        <w:tc>
          <w:tcPr>
            <w:tcW w:w="8760" w:type="dxa"/>
            <w:vAlign w:val="bottom"/>
            <w:tcBorders>
              <w:bottom w:val="single" w:sz="8" w:color="auto"/>
            </w:tcBorders>
            <w:gridSpan w:val="3"/>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4"/>
        </w:trPr>
        <w:tc>
          <w:tcPr>
            <w:tcW w:w="876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900" w:type="dxa"/>
            <w:vAlign w:val="bottom"/>
          </w:tcPr>
          <w:p>
            <w:pPr>
              <w:jc w:val="right"/>
              <w:ind w:right="5612"/>
              <w:spacing w:after="0"/>
              <w:rPr>
                <w:sz w:val="20"/>
                <w:szCs w:val="20"/>
                <w:color w:val="auto"/>
              </w:rPr>
            </w:pPr>
            <w:r>
              <w:rPr>
                <w:rFonts w:ascii="Arial" w:cs="Arial" w:eastAsia="Arial" w:hAnsi="Arial"/>
                <w:sz w:val="22"/>
                <w:szCs w:val="22"/>
                <w:color w:val="auto"/>
              </w:rPr>
              <w:t>0</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900" w:type="dxa"/>
            <w:vAlign w:val="bottom"/>
          </w:tcPr>
          <w:p>
            <w:pPr>
              <w:jc w:val="right"/>
              <w:ind w:right="5612"/>
              <w:spacing w:after="0"/>
              <w:rPr>
                <w:sz w:val="20"/>
                <w:szCs w:val="20"/>
                <w:color w:val="auto"/>
              </w:rPr>
            </w:pPr>
            <w:r>
              <w:rPr>
                <w:rFonts w:ascii="Arial" w:cs="Arial" w:eastAsia="Arial" w:hAnsi="Arial"/>
                <w:sz w:val="22"/>
                <w:szCs w:val="22"/>
                <w:color w:val="auto"/>
              </w:rPr>
              <w:t>0</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900" w:type="dxa"/>
            <w:vAlign w:val="bottom"/>
          </w:tcPr>
          <w:p>
            <w:pPr>
              <w:jc w:val="right"/>
              <w:ind w:right="5592"/>
              <w:spacing w:after="0"/>
              <w:rPr>
                <w:sz w:val="20"/>
                <w:szCs w:val="20"/>
                <w:color w:val="auto"/>
              </w:rPr>
            </w:pPr>
            <w:r>
              <w:rPr>
                <w:rFonts w:ascii="Arial" w:cs="Arial" w:eastAsia="Arial" w:hAnsi="Arial"/>
                <w:sz w:val="22"/>
                <w:szCs w:val="22"/>
                <w:color w:val="auto"/>
              </w:rPr>
              <w:t>0</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900" w:type="dxa"/>
            <w:vAlign w:val="bottom"/>
          </w:tcPr>
          <w:p>
            <w:pPr>
              <w:jc w:val="right"/>
              <w:ind w:right="5592"/>
              <w:spacing w:after="0"/>
              <w:rPr>
                <w:sz w:val="20"/>
                <w:szCs w:val="20"/>
                <w:color w:val="auto"/>
              </w:rPr>
            </w:pPr>
            <w:r>
              <w:rPr>
                <w:rFonts w:ascii="Arial" w:cs="Arial" w:eastAsia="Arial" w:hAnsi="Arial"/>
                <w:sz w:val="22"/>
                <w:szCs w:val="22"/>
                <w:color w:val="auto"/>
              </w:rPr>
              <w:t>0</w:t>
            </w:r>
          </w:p>
        </w:tc>
        <w:tc>
          <w:tcPr>
            <w:tcW w:w="248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40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48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0</w:t>
            </w:r>
          </w:p>
        </w:tc>
        <w:tc>
          <w:tcPr>
            <w:tcW w:w="590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38"/>
        </w:trPr>
        <w:tc>
          <w:tcPr>
            <w:tcW w:w="8760" w:type="dxa"/>
            <w:vAlign w:val="bottom"/>
            <w:tcBorders>
              <w:bottom w:val="single" w:sz="8" w:color="auto"/>
            </w:tcBorders>
            <w:gridSpan w:val="3"/>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62"/>
        </w:trPr>
        <w:tc>
          <w:tcPr>
            <w:tcW w:w="876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48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900" w:type="dxa"/>
            <w:vAlign w:val="bottom"/>
          </w:tcPr>
          <w:p>
            <w:pPr>
              <w:spacing w:after="0"/>
              <w:rPr>
                <w:sz w:val="23"/>
                <w:szCs w:val="23"/>
                <w:color w:val="auto"/>
              </w:rPr>
            </w:pPr>
          </w:p>
        </w:tc>
        <w:tc>
          <w:tcPr>
            <w:tcW w:w="2480" w:type="dxa"/>
            <w:vAlign w:val="bottom"/>
          </w:tcPr>
          <w:p>
            <w:pPr>
              <w:spacing w:after="0"/>
              <w:rPr>
                <w:sz w:val="23"/>
                <w:szCs w:val="23"/>
                <w:color w:val="auto"/>
              </w:rPr>
            </w:pPr>
          </w:p>
        </w:tc>
      </w:tr>
    </w:tbl>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0%</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jc w:val="right"/>
              <w:ind w:right="2652"/>
              <w:spacing w:after="0"/>
              <w:rPr>
                <w:sz w:val="20"/>
                <w:szCs w:val="20"/>
                <w:color w:val="auto"/>
              </w:rPr>
            </w:pPr>
            <w:r>
              <w:rPr>
                <w:rFonts w:ascii="Arial" w:cs="Arial" w:eastAsia="Arial" w:hAnsi="Arial"/>
                <w:sz w:val="22"/>
                <w:szCs w:val="22"/>
                <w:color w:val="auto"/>
                <w:w w:val="95"/>
              </w:rPr>
              <w:t>Point72 Capital Advisors, Inc.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18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jc w:val="right"/>
              <w:ind w:right="3552"/>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18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jc w:val="right"/>
              <w:ind w:right="5232"/>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jc w:val="right"/>
              <w:ind w:right="5232"/>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jc w:val="right"/>
              <w:ind w:right="5212"/>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jc w:val="right"/>
              <w:ind w:right="5212"/>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0</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0%</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480" w:type="dxa"/>
            <w:vAlign w:val="bottom"/>
          </w:tcPr>
          <w:p>
            <w:pPr>
              <w:ind w:left="20"/>
              <w:spacing w:after="0"/>
              <w:rPr>
                <w:sz w:val="20"/>
                <w:szCs w:val="20"/>
                <w:color w:val="auto"/>
              </w:rPr>
            </w:pPr>
            <w:r>
              <w:rPr>
                <w:rFonts w:ascii="Arial" w:cs="Arial" w:eastAsia="Arial" w:hAnsi="Arial"/>
                <w:sz w:val="22"/>
                <w:szCs w:val="22"/>
                <w:color w:val="auto"/>
                <w:w w:val="89"/>
              </w:rPr>
              <w:t>Names of reporting persons</w:t>
            </w:r>
          </w:p>
        </w:tc>
        <w:tc>
          <w:tcPr>
            <w:tcW w:w="5540" w:type="dxa"/>
            <w:vAlign w:val="bottom"/>
          </w:tcPr>
          <w:p>
            <w:pPr>
              <w:ind w:left="160"/>
              <w:spacing w:after="0"/>
              <w:rPr>
                <w:sz w:val="20"/>
                <w:szCs w:val="20"/>
                <w:color w:val="auto"/>
              </w:rPr>
            </w:pPr>
            <w:r>
              <w:rPr>
                <w:rFonts w:ascii="Arial" w:cs="Arial" w:eastAsia="Arial" w:hAnsi="Arial"/>
                <w:sz w:val="22"/>
                <w:szCs w:val="22"/>
                <w:color w:val="auto"/>
              </w:rPr>
              <w:t>Cubist Systematic Strategies, LLC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18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18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48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4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40" w:type="dxa"/>
            <w:vAlign w:val="bottom"/>
          </w:tcPr>
          <w:p>
            <w:pPr>
              <w:ind w:left="10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48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40" w:type="dxa"/>
            <w:vAlign w:val="bottom"/>
          </w:tcPr>
          <w:p>
            <w:pPr>
              <w:ind w:left="100"/>
              <w:spacing w:after="0"/>
              <w:rPr>
                <w:sz w:val="20"/>
                <w:szCs w:val="20"/>
                <w:color w:val="auto"/>
              </w:rPr>
            </w:pPr>
            <w:r>
              <w:rPr>
                <w:rFonts w:ascii="Arial" w:cs="Arial" w:eastAsia="Arial" w:hAnsi="Arial"/>
                <w:sz w:val="22"/>
                <w:szCs w:val="22"/>
                <w:color w:val="auto"/>
              </w:rPr>
              <w:t>22**</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48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40" w:type="dxa"/>
            <w:vAlign w:val="bottom"/>
          </w:tcPr>
          <w:p>
            <w:pPr>
              <w:ind w:left="10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480" w:type="dxa"/>
            <w:vAlign w:val="bottom"/>
          </w:tcPr>
          <w:p>
            <w:pPr>
              <w:ind w:left="20"/>
              <w:spacing w:after="0"/>
              <w:rPr>
                <w:sz w:val="20"/>
                <w:szCs w:val="20"/>
                <w:color w:val="auto"/>
              </w:rPr>
            </w:pPr>
            <w:r>
              <w:rPr>
                <w:rFonts w:ascii="Arial" w:cs="Arial" w:eastAsia="Arial" w:hAnsi="Arial"/>
                <w:sz w:val="22"/>
                <w:szCs w:val="22"/>
                <w:color w:val="auto"/>
                <w:w w:val="99"/>
              </w:rPr>
              <w:t>Shared dispositive power</w:t>
            </w:r>
          </w:p>
        </w:tc>
        <w:tc>
          <w:tcPr>
            <w:tcW w:w="5540" w:type="dxa"/>
            <w:vAlign w:val="bottom"/>
          </w:tcPr>
          <w:p>
            <w:pPr>
              <w:ind w:left="40"/>
              <w:spacing w:after="0"/>
              <w:rPr>
                <w:sz w:val="20"/>
                <w:szCs w:val="20"/>
                <w:color w:val="auto"/>
              </w:rPr>
            </w:pPr>
            <w:r>
              <w:rPr>
                <w:rFonts w:ascii="Arial" w:cs="Arial" w:eastAsia="Arial" w:hAnsi="Arial"/>
                <w:sz w:val="22"/>
                <w:szCs w:val="22"/>
                <w:color w:val="auto"/>
              </w:rPr>
              <w:t>22**</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480" w:type="dxa"/>
            <w:vAlign w:val="bottom"/>
          </w:tcPr>
          <w:p>
            <w:pPr>
              <w:ind w:left="100"/>
              <w:spacing w:after="0"/>
              <w:rPr>
                <w:sz w:val="20"/>
                <w:szCs w:val="20"/>
                <w:color w:val="auto"/>
              </w:rPr>
            </w:pPr>
            <w:r>
              <w:rPr>
                <w:rFonts w:ascii="Arial" w:cs="Arial" w:eastAsia="Arial" w:hAnsi="Arial"/>
                <w:sz w:val="22"/>
                <w:szCs w:val="22"/>
                <w:color w:val="auto"/>
              </w:rPr>
              <w:t>22**</w:t>
            </w:r>
          </w:p>
        </w:tc>
        <w:tc>
          <w:tcPr>
            <w:tcW w:w="554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4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4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**Consists of 22 American Depositary Shares, representing 110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18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18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22**</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22**</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22**</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22"/>
          <w:szCs w:val="22"/>
          <w:color w:val="auto"/>
        </w:rPr>
        <w:t>**Consists of 22 American Depositary Shares, representing 110 Ordinary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One Cavendish Place, London W1G 0QF, United Kingdom</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01"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The holdings of the Issuer’s ordinary shares, nominal value £0.003 per share (“Ordinary Shares”) reported herein are held in the form of American Depositary Shares (“ADS”), which each represent five (5) Ordinary Shares. This statement is filed by: (i) Point72 Asset Management, L.P. (“Point72 Asset Management”) with respect to Ordinary Shares held, in the form of ADSs, by an investment fund it manages; (ii) Point72 Capital Advisors, Inc. (“Point72 Capital Advisors Inc.”) with respect to Ordinary Shares held, in the form of ADSs, by an investment fund managed by Point72 Asset Management; (iii) Cubist Systematic Strategies, LLC (“Cubist Systematic Strategies”) with respect to Ordinary Shares held, in the form of ADSs, by an investment fund it manages; and (iv) Steven A. Cohen (“Mr. Cohen”) with respect to Ordinary Shares held, in the form of ADSs, beneficially owned by Point72 Asset Management, Point72 Capital Advisors Inc., and Cubist Systematic Strategies.</w:t>
      </w:r>
    </w:p>
    <w:p>
      <w:pPr>
        <w:spacing w:after="0" w:line="161" w:lineRule="exact"/>
        <w:rPr>
          <w:sz w:val="20"/>
          <w:szCs w:val="20"/>
          <w:color w:val="auto"/>
        </w:rPr>
      </w:pPr>
    </w:p>
    <w:p>
      <w:pPr>
        <w:ind w:right="1659"/>
        <w:spacing w:after="0" w:line="252" w:lineRule="auto"/>
        <w:rPr>
          <w:sz w:val="20"/>
          <w:szCs w:val="20"/>
          <w:color w:val="auto"/>
        </w:rPr>
      </w:pPr>
      <w:r>
        <w:rPr>
          <w:rFonts w:ascii="Arial" w:cs="Arial" w:eastAsia="Arial" w:hAnsi="Arial"/>
          <w:sz w:val="21"/>
          <w:szCs w:val="21"/>
          <w:color w:val="auto"/>
        </w:rPr>
        <w:t>Point72 Asset Management, Point72 Capital Advisors Inc., Cubist Systematic Strategies,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address of the principal business office of (i) Point72 Asset Management,</w:t>
      </w:r>
    </w:p>
    <w:p>
      <w:pPr>
        <w:spacing w:after="0" w:line="8" w:lineRule="exact"/>
        <w:rPr>
          <w:sz w:val="20"/>
          <w:szCs w:val="20"/>
          <w:color w:val="auto"/>
        </w:rPr>
      </w:pPr>
    </w:p>
    <w:p>
      <w:pPr>
        <w:ind w:right="1719"/>
        <w:spacing w:after="0" w:line="256" w:lineRule="auto"/>
        <w:rPr>
          <w:sz w:val="20"/>
          <w:szCs w:val="20"/>
          <w:color w:val="auto"/>
        </w:rPr>
      </w:pPr>
      <w:r>
        <w:rPr>
          <w:rFonts w:ascii="Arial" w:cs="Arial" w:eastAsia="Arial" w:hAnsi="Arial"/>
          <w:sz w:val="21"/>
          <w:szCs w:val="21"/>
          <w:color w:val="auto"/>
        </w:rPr>
        <w:t>Point72 Capital Advisors Inc., and Mr. Cohen is 72 Cummings Point Road, Stamford, CT 06902; and (ii) Cubist Systematic Strategies is 55 Hudson Yards, New York, NY 10001.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ind w:right="1799"/>
        <w:spacing w:after="0"/>
        <w:rPr>
          <w:sz w:val="20"/>
          <w:szCs w:val="20"/>
          <w:color w:val="auto"/>
        </w:rPr>
      </w:pPr>
      <w:r>
        <w:rPr>
          <w:rFonts w:ascii="Arial" w:cs="Arial" w:eastAsia="Arial" w:hAnsi="Arial"/>
          <w:sz w:val="22"/>
          <w:szCs w:val="22"/>
          <w:color w:val="auto"/>
        </w:rPr>
        <w:t>Point72 Asset Management is a Delaware limited partnership. Point72 Capital Advisors Inc. is a Delaware corporation. Cubist Systematic Strategies is a Delaware limited liability company. Mr. Cohen is a United States citizen.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Ordinary Shares, nominal value £0.003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589492107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ind w:right="1379"/>
        <w:spacing w:after="0"/>
        <w:rPr>
          <w:sz w:val="20"/>
          <w:szCs w:val="20"/>
          <w:color w:val="auto"/>
        </w:rPr>
      </w:pPr>
      <w:r>
        <w:rPr>
          <w:rFonts w:ascii="Arial" w:cs="Arial" w:eastAsia="Arial" w:hAnsi="Arial"/>
          <w:sz w:val="22"/>
          <w:szCs w:val="22"/>
          <w:color w:val="auto"/>
        </w:rPr>
        <w:t>The information required by Items 4(a) – (c) is set forth in Rows (5) – (11) of the cover page for each Reporting Person hereto and is incorporated herein by reference for each Reporting Person. Such information is as of the close of business on December 31, 2022.</w:t>
      </w:r>
    </w:p>
    <w:p>
      <w:pPr>
        <w:spacing w:after="0" w:line="213" w:lineRule="exact"/>
        <w:rPr>
          <w:sz w:val="20"/>
          <w:szCs w:val="20"/>
          <w:color w:val="auto"/>
        </w:rPr>
      </w:pPr>
    </w:p>
    <w:p>
      <w:pPr>
        <w:ind w:right="1939"/>
        <w:spacing w:after="0" w:line="274" w:lineRule="auto"/>
        <w:rPr>
          <w:sz w:val="20"/>
          <w:szCs w:val="20"/>
          <w:color w:val="auto"/>
        </w:rPr>
      </w:pPr>
      <w:r>
        <w:rPr>
          <w:rFonts w:ascii="Arial" w:cs="Arial" w:eastAsia="Arial" w:hAnsi="Arial"/>
          <w:sz w:val="19"/>
          <w:szCs w:val="19"/>
          <w:color w:val="auto"/>
        </w:rPr>
        <w:t>Point72 Asset Management, Point72 Capital Advisors Inc., Cubist Systematic Strategies, and Mr. Cohen own directly no ADSs or Ordinary Shares. Pursuant to an investment management agreement, Point72 Asset Management maintains investment and voting power with respect to the securities held by an investment fund it manages. Point72 Capital Advisors Inc. is the general partner of Point72 Asset Management. Pursuant to an investment management agreement, Cubist Systematic Strategies maintains investment and voting power with respect to the securities held by an investment fund it manages. Mr. Cohen controls each of Point72 Asset Management, Point72 Capital Advisors Inc., and Cubist Systematic Strategies. The filing of this statement should not be construed as an admission that any of the</w:t>
      </w:r>
    </w:p>
    <w:p>
      <w:pPr>
        <w:sectPr>
          <w:pgSz w:w="11900" w:h="16838" w:orient="portrait"/>
          <w:cols w:equalWidth="0" w:num="1">
            <w:col w:w="10139"/>
          </w:cols>
          <w:pgMar w:left="320" w:top="604" w:right="1440" w:bottom="0" w:gutter="0" w:footer="0" w:header="0"/>
        </w:sectPr>
      </w:pPr>
    </w:p>
    <w:bookmarkStart w:id="6" w:name="page7"/>
    <w:bookmarkEnd w:id="6"/>
    <w:p>
      <w:pPr>
        <w:ind w:right="2299"/>
        <w:spacing w:after="0" w:line="251" w:lineRule="auto"/>
        <w:rPr>
          <w:sz w:val="20"/>
          <w:szCs w:val="20"/>
          <w:color w:val="auto"/>
        </w:rPr>
      </w:pPr>
      <w:r>
        <w:rPr>
          <w:rFonts w:ascii="Arial" w:cs="Arial" w:eastAsia="Arial" w:hAnsi="Arial"/>
          <w:sz w:val="22"/>
          <w:szCs w:val="22"/>
          <w:color w:val="auto"/>
        </w:rPr>
        <w:t>foregoing persons or any reporting person is, for the purposes of Section 13 of the Act, the beneficial owner of the Ordinary Shares reported herein.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209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[X].</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See Item 2(a)</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ind w:right="2139"/>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4" w:lineRule="exact"/>
        <w:rPr>
          <w:sz w:val="20"/>
          <w:szCs w:val="20"/>
          <w:color w:val="auto"/>
        </w:rPr>
      </w:pPr>
    </w:p>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1"/>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2023-02-14T15:17:26Z</dcterms:created>
  <dcterms:modified xsi:type="dcterms:W3CDTF">2023-02-14T15:17:26Z</dcterms:modified>
</cp:coreProperties>
</file>