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Ordinary Shares, £0.003 par value</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589492107**</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ind w:left="340" w:right="40" w:hanging="328"/>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CUSIP number assigned to the Ordinary Shares. CUSIP number 589492107 has been assigned to the American Depositary Receipts</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ADRs</w:t>
      </w:r>
      <w:r>
        <w:rPr>
          <w:rFonts w:ascii="Times New Roman" w:cs="Times New Roman" w:eastAsia="Times New Roman" w:hAnsi="Times New Roman"/>
          <w:sz w:val="18"/>
          <w:szCs w:val="18"/>
          <w:color w:val="auto"/>
        </w:rPr>
        <w:t>”) of the Issuer, which are quoted on the Nasdaq Global Market under the symbol “MREO.” Each ADR represents five (5)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09"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20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86" w:lineRule="exact"/>
        <w:rPr>
          <w:sz w:val="20"/>
          <w:szCs w:val="20"/>
          <w:color w:val="auto"/>
        </w:rPr>
      </w:pPr>
    </w:p>
    <w:p>
      <w:pPr>
        <w:ind w:left="880" w:hanging="505"/>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Soleus Private Equity Fund III, L.P.</w:t>
      </w:r>
    </w:p>
    <w:p>
      <w:pPr>
        <w:spacing w:after="0" w:line="144" w:lineRule="exact"/>
        <w:rPr>
          <w:sz w:val="20"/>
          <w:szCs w:val="20"/>
          <w:color w:val="auto"/>
        </w:rPr>
      </w:pPr>
    </w:p>
    <w:p>
      <w:pPr>
        <w:ind w:left="880" w:hanging="505"/>
        <w:spacing w:after="0"/>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sz w:val="20"/>
          <w:szCs w:val="20"/>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85" w:lineRule="exact"/>
        <w:rPr>
          <w:sz w:val="20"/>
          <w:szCs w:val="20"/>
          <w:color w:val="auto"/>
        </w:rPr>
      </w:pPr>
    </w:p>
    <w:p>
      <w:pPr>
        <w:ind w:left="880" w:hanging="505"/>
        <w:spacing w:after="0"/>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ind w:left="880" w:hanging="505"/>
        <w:spacing w:after="0"/>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44" w:lineRule="exact"/>
        <w:rPr>
          <w:rFonts w:ascii="Times New Roman" w:cs="Times New Roman" w:eastAsia="Times New Roman" w:hAnsi="Times New Roman"/>
          <w:sz w:val="18"/>
          <w:szCs w:val="18"/>
          <w:color w:val="auto"/>
        </w:rPr>
      </w:pPr>
    </w:p>
    <w:p>
      <w:pPr>
        <w:ind w:left="2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40" w:type="dxa"/>
            <w:vAlign w:val="bottom"/>
            <w:vMerge w:val="continue"/>
          </w:tcPr>
          <w:p>
            <w:pPr>
              <w:spacing w:after="0"/>
              <w:rPr>
                <w:sz w:val="11"/>
                <w:szCs w:val="11"/>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Pr>
          <w:p>
            <w:pPr>
              <w:spacing w:after="0"/>
              <w:rPr>
                <w:sz w:val="18"/>
                <w:szCs w:val="18"/>
                <w:color w:val="auto"/>
              </w:rPr>
            </w:pP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1,230,555 ordinary shares represented by 246,111 ADRs (1)</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PERSON</w:t>
            </w:r>
          </w:p>
        </w:tc>
        <w:tc>
          <w:tcPr>
            <w:tcW w:w="66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40" w:type="dxa"/>
            <w:vAlign w:val="bottom"/>
            <w:vMerge w:val="continue"/>
          </w:tcPr>
          <w:p>
            <w:pPr>
              <w:spacing w:after="0"/>
              <w:rPr>
                <w:sz w:val="8"/>
                <w:szCs w:val="8"/>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1,230,555 ordinary shares represented by 246,111 ADRs (1)</w:t>
      </w:r>
    </w:p>
    <w:p>
      <w:pPr>
        <w:spacing w:after="0" w:line="144" w:lineRule="exact"/>
        <w:rPr>
          <w:sz w:val="20"/>
          <w:szCs w:val="20"/>
          <w:color w:val="auto"/>
        </w:rPr>
      </w:pPr>
    </w:p>
    <w:p>
      <w:pPr>
        <w:ind w:left="880" w:hanging="505"/>
        <w:spacing w:after="0"/>
        <w:tabs>
          <w:tab w:leader="none" w:pos="8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1,230,555 ordinary shares represented by 246,111 ADRs (1)</w:t>
      </w:r>
    </w:p>
    <w:p>
      <w:pPr>
        <w:spacing w:after="0" w:line="144" w:lineRule="exact"/>
        <w:rPr>
          <w:sz w:val="20"/>
          <w:szCs w:val="20"/>
          <w:color w:val="auto"/>
        </w:rPr>
      </w:pPr>
    </w:p>
    <w:p>
      <w:pPr>
        <w:ind w:left="880" w:hanging="550"/>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4"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80" w:right="5300" w:hanging="547"/>
        <w:spacing w:after="0" w:line="453"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0.2% (2)</w:t>
      </w:r>
    </w:p>
    <w:p>
      <w:pPr>
        <w:spacing w:after="0" w:line="1" w:lineRule="exact"/>
        <w:rPr>
          <w:rFonts w:ascii="Times New Roman" w:cs="Times New Roman" w:eastAsia="Times New Roman" w:hAnsi="Times New Roman"/>
          <w:sz w:val="18"/>
          <w:szCs w:val="18"/>
          <w:color w:val="auto"/>
        </w:rPr>
      </w:pPr>
    </w:p>
    <w:p>
      <w:pPr>
        <w:ind w:left="880" w:right="6020" w:hanging="550"/>
        <w:spacing w:after="0" w:line="532" w:lineRule="auto"/>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9" w:lineRule="exact"/>
        <w:rPr>
          <w:sz w:val="20"/>
          <w:szCs w:val="20"/>
          <w:color w:val="auto"/>
        </w:rPr>
      </w:pPr>
    </w:p>
    <w:p>
      <w:pPr>
        <w:ind w:left="340" w:right="20" w:hanging="332"/>
        <w:spacing w:after="0" w:line="25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in this row are held directly by Soleus Private Equity Fund III, L.P. (“Soleus PE”). Soleus Private Equity GP III, LLC (“Soleus PE GP”) is the sole general partner of Soleus PE, Soleus PE GP III, LLC is the sole manager of Soleus PE GP, Soleus Capital Management, L.P. (“Soleus Capital Management”) is the investment manager for Soleus PE and for Soleus Capital Master Fund, L.P. (“Master Fund”), and Soleus GP, LLC is the sole general partner of Soleus Capital Management. Guy Levy is the sole managing member of each of Soleus PE GP III, LLC and of Soleus GP, LLC. Each of Mr. Levy, Soleus PE GP III, LLC, Soleus PE GP, Soleus Capital Management and Soleus GP, LLC disclaims beneficial ownership of these shares held by Soleus PE other than for the purpose of determining their obligations under Section 13(d) of the Securities Exchange Act of 1934, as amended (the “Exchange Act”), and the filing of this report shall not be deemed an admission that any of Mr. Levy, Soleus PE GP III, LLC, Soleus PE GP, Soleus Capital Management or Soleus GP, LLC is the beneficial owner of such shares for any other purpose.</w:t>
      </w:r>
    </w:p>
    <w:p>
      <w:pPr>
        <w:spacing w:after="0" w:line="191" w:lineRule="exact"/>
        <w:rPr>
          <w:rFonts w:ascii="Times New Roman" w:cs="Times New Roman" w:eastAsia="Times New Roman" w:hAnsi="Times New Roman"/>
          <w:sz w:val="18"/>
          <w:szCs w:val="18"/>
          <w:color w:val="auto"/>
        </w:rPr>
      </w:pPr>
    </w:p>
    <w:p>
      <w:pPr>
        <w:jc w:val="both"/>
        <w:ind w:left="340" w:right="180" w:hanging="332"/>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775,728,034 ordinary shares outstanding of Mereo BioPharma Group plc (the “Issuer”) as of November 11, 2024, as set forth on the cover of the Issuer’s Quarterly Report on Form 10-Q for the fiscal quarter ended September 30, 2024 that was filed with the Securities and Exchange Commission on November 12, 2024 (the “Form 10-Q”).</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20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86" w:lineRule="exact"/>
        <w:rPr>
          <w:sz w:val="20"/>
          <w:szCs w:val="20"/>
          <w:color w:val="auto"/>
        </w:rPr>
      </w:pPr>
    </w:p>
    <w:p>
      <w:pPr>
        <w:ind w:left="880" w:hanging="505"/>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Soleus Private Equity GP III, LLC</w:t>
      </w:r>
    </w:p>
    <w:p>
      <w:pPr>
        <w:spacing w:after="0" w:line="144" w:lineRule="exact"/>
        <w:rPr>
          <w:sz w:val="20"/>
          <w:szCs w:val="20"/>
          <w:color w:val="auto"/>
        </w:rPr>
      </w:pPr>
    </w:p>
    <w:p>
      <w:pPr>
        <w:ind w:left="880" w:hanging="505"/>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sz w:val="20"/>
          <w:szCs w:val="20"/>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85" w:lineRule="exact"/>
        <w:rPr>
          <w:sz w:val="20"/>
          <w:szCs w:val="20"/>
          <w:color w:val="auto"/>
        </w:rPr>
      </w:pPr>
    </w:p>
    <w:p>
      <w:pPr>
        <w:ind w:left="880" w:hanging="505"/>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ind w:left="880" w:hanging="505"/>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44" w:lineRule="exact"/>
        <w:rPr>
          <w:rFonts w:ascii="Times New Roman" w:cs="Times New Roman" w:eastAsia="Times New Roman" w:hAnsi="Times New Roman"/>
          <w:sz w:val="18"/>
          <w:szCs w:val="18"/>
          <w:color w:val="auto"/>
        </w:rPr>
      </w:pPr>
    </w:p>
    <w:p>
      <w:pPr>
        <w:ind w:left="2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40" w:type="dxa"/>
            <w:vAlign w:val="bottom"/>
            <w:vMerge w:val="continue"/>
          </w:tcPr>
          <w:p>
            <w:pPr>
              <w:spacing w:after="0"/>
              <w:rPr>
                <w:sz w:val="11"/>
                <w:szCs w:val="11"/>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Pr>
          <w:p>
            <w:pPr>
              <w:spacing w:after="0"/>
              <w:rPr>
                <w:sz w:val="18"/>
                <w:szCs w:val="18"/>
                <w:color w:val="auto"/>
              </w:rPr>
            </w:pP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1,230,555 ordinary shares represented by 246,111 ADRs (1)</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PERSON</w:t>
            </w:r>
          </w:p>
        </w:tc>
        <w:tc>
          <w:tcPr>
            <w:tcW w:w="66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40" w:type="dxa"/>
            <w:vAlign w:val="bottom"/>
            <w:vMerge w:val="continue"/>
          </w:tcPr>
          <w:p>
            <w:pPr>
              <w:spacing w:after="0"/>
              <w:rPr>
                <w:sz w:val="8"/>
                <w:szCs w:val="8"/>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1,230,555 ordinary shares represented by 246,111 ADRs (1)</w:t>
      </w:r>
    </w:p>
    <w:p>
      <w:pPr>
        <w:spacing w:after="0" w:line="144" w:lineRule="exact"/>
        <w:rPr>
          <w:sz w:val="20"/>
          <w:szCs w:val="20"/>
          <w:color w:val="auto"/>
        </w:rPr>
      </w:pPr>
    </w:p>
    <w:p>
      <w:pPr>
        <w:ind w:left="880" w:hanging="505"/>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1,230,555 ordinary shares represented by 246,111 ADRs (1)</w:t>
      </w:r>
    </w:p>
    <w:p>
      <w:pPr>
        <w:spacing w:after="0" w:line="144" w:lineRule="exact"/>
        <w:rPr>
          <w:sz w:val="20"/>
          <w:szCs w:val="20"/>
          <w:color w:val="auto"/>
        </w:rPr>
      </w:pPr>
    </w:p>
    <w:p>
      <w:pPr>
        <w:ind w:left="880" w:hanging="550"/>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4"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80" w:right="5300" w:hanging="547"/>
        <w:spacing w:after="0" w:line="453"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0.2% (2)</w:t>
      </w:r>
    </w:p>
    <w:p>
      <w:pPr>
        <w:spacing w:after="0" w:line="1" w:lineRule="exact"/>
        <w:rPr>
          <w:rFonts w:ascii="Times New Roman" w:cs="Times New Roman" w:eastAsia="Times New Roman" w:hAnsi="Times New Roman"/>
          <w:sz w:val="18"/>
          <w:szCs w:val="18"/>
          <w:color w:val="auto"/>
        </w:rPr>
      </w:pPr>
    </w:p>
    <w:p>
      <w:pPr>
        <w:ind w:left="880" w:right="6020" w:hanging="550"/>
        <w:spacing w:after="0" w:line="53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9" w:lineRule="exact"/>
        <w:rPr>
          <w:sz w:val="20"/>
          <w:szCs w:val="20"/>
          <w:color w:val="auto"/>
        </w:rPr>
      </w:pPr>
    </w:p>
    <w:p>
      <w:pPr>
        <w:ind w:left="340" w:right="20" w:hanging="332"/>
        <w:spacing w:after="0" w:line="255"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in this row are held directly by Soleus PE. Soleus PE GP is the sole general partner of Soleus PE, Soleus PE GP III, LLC is the sole manager of Soleus PE GP, Soleus Capital Management is the investment manager for Soleus PE and for Master Fund, and Soleus GP, LLC is the sole general partner of Soleus Capital Management. Guy Levy is the sole managing member of each of Soleus PE GP III, LLC and of Soleus GP, LLC. Each of Mr. Levy, Soleus PE GP III, LLC, Soleus PE GP, Soleus Capital Management and Soleus GP, LLC disclaims beneficial ownership of these shares held by Soleus PE other than for the purpose of determining their obligations under Section 13(d) of the Exchange Act, and the filing of this report shall not be deemed an admission that any of Mr. Levy, Soleus PE GP III, LLC, Soleus PE GP, Soleus Capital Management or Soleus GP, LLC is the beneficial owner of such shares for any other purpose.</w:t>
      </w:r>
    </w:p>
    <w:p>
      <w:pPr>
        <w:spacing w:after="0" w:line="188"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775,728,034 ordinary shares outstanding of the Issuer as of November 11, 2024, as set forth on the cover of the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20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86" w:lineRule="exact"/>
        <w:rPr>
          <w:sz w:val="20"/>
          <w:szCs w:val="20"/>
          <w:color w:val="auto"/>
        </w:rPr>
      </w:pPr>
    </w:p>
    <w:p>
      <w:pPr>
        <w:ind w:left="880" w:hanging="505"/>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Soleus PE GP III, LLC</w:t>
      </w:r>
    </w:p>
    <w:p>
      <w:pPr>
        <w:spacing w:after="0" w:line="144" w:lineRule="exact"/>
        <w:rPr>
          <w:sz w:val="20"/>
          <w:szCs w:val="20"/>
          <w:color w:val="auto"/>
        </w:rPr>
      </w:pPr>
    </w:p>
    <w:p>
      <w:pPr>
        <w:ind w:left="880" w:hanging="505"/>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sz w:val="20"/>
          <w:szCs w:val="20"/>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85" w:lineRule="exact"/>
        <w:rPr>
          <w:sz w:val="20"/>
          <w:szCs w:val="20"/>
          <w:color w:val="auto"/>
        </w:rPr>
      </w:pPr>
    </w:p>
    <w:p>
      <w:pPr>
        <w:ind w:left="880" w:hanging="505"/>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ind w:left="880" w:hanging="505"/>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44" w:lineRule="exact"/>
        <w:rPr>
          <w:rFonts w:ascii="Times New Roman" w:cs="Times New Roman" w:eastAsia="Times New Roman" w:hAnsi="Times New Roman"/>
          <w:sz w:val="18"/>
          <w:szCs w:val="18"/>
          <w:color w:val="auto"/>
        </w:rPr>
      </w:pPr>
    </w:p>
    <w:p>
      <w:pPr>
        <w:ind w:left="2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40" w:type="dxa"/>
            <w:vAlign w:val="bottom"/>
            <w:vMerge w:val="continue"/>
          </w:tcPr>
          <w:p>
            <w:pPr>
              <w:spacing w:after="0"/>
              <w:rPr>
                <w:sz w:val="11"/>
                <w:szCs w:val="11"/>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Pr>
          <w:p>
            <w:pPr>
              <w:spacing w:after="0"/>
              <w:rPr>
                <w:sz w:val="18"/>
                <w:szCs w:val="18"/>
                <w:color w:val="auto"/>
              </w:rPr>
            </w:pP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1,230,555 ordinary shares represented by 246,111 ADRs (1)</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PERSON</w:t>
            </w:r>
          </w:p>
        </w:tc>
        <w:tc>
          <w:tcPr>
            <w:tcW w:w="66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40" w:type="dxa"/>
            <w:vAlign w:val="bottom"/>
            <w:vMerge w:val="continue"/>
          </w:tcPr>
          <w:p>
            <w:pPr>
              <w:spacing w:after="0"/>
              <w:rPr>
                <w:sz w:val="8"/>
                <w:szCs w:val="8"/>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1,230,555 ordinary shares represented by 246,111 ADRs (1)</w:t>
      </w:r>
    </w:p>
    <w:p>
      <w:pPr>
        <w:spacing w:after="0" w:line="144" w:lineRule="exact"/>
        <w:rPr>
          <w:sz w:val="20"/>
          <w:szCs w:val="20"/>
          <w:color w:val="auto"/>
        </w:rPr>
      </w:pPr>
    </w:p>
    <w:p>
      <w:pPr>
        <w:ind w:left="880" w:hanging="505"/>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1,230,555 ordinary shares represented by 246,111 ADRs (1)</w:t>
      </w:r>
    </w:p>
    <w:p>
      <w:pPr>
        <w:spacing w:after="0" w:line="144" w:lineRule="exact"/>
        <w:rPr>
          <w:sz w:val="20"/>
          <w:szCs w:val="20"/>
          <w:color w:val="auto"/>
        </w:rPr>
      </w:pPr>
    </w:p>
    <w:p>
      <w:pPr>
        <w:ind w:left="880" w:hanging="55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4"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80" w:right="5300" w:hanging="547"/>
        <w:spacing w:after="0" w:line="453"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0.2% (2)</w:t>
      </w:r>
    </w:p>
    <w:p>
      <w:pPr>
        <w:spacing w:after="0" w:line="1" w:lineRule="exact"/>
        <w:rPr>
          <w:rFonts w:ascii="Times New Roman" w:cs="Times New Roman" w:eastAsia="Times New Roman" w:hAnsi="Times New Roman"/>
          <w:sz w:val="18"/>
          <w:szCs w:val="18"/>
          <w:color w:val="auto"/>
        </w:rPr>
      </w:pPr>
    </w:p>
    <w:p>
      <w:pPr>
        <w:ind w:left="880" w:right="6020" w:hanging="550"/>
        <w:spacing w:after="0" w:line="53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9" w:lineRule="exact"/>
        <w:rPr>
          <w:sz w:val="20"/>
          <w:szCs w:val="20"/>
          <w:color w:val="auto"/>
        </w:rPr>
      </w:pPr>
    </w:p>
    <w:p>
      <w:pPr>
        <w:ind w:left="340" w:right="20" w:hanging="332"/>
        <w:spacing w:after="0" w:line="25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in this row are held directly by Soleus PE. Soleus PE GP is the sole general partner of Soleus PE, Soleus PE GP III, LLC is the sole manager of Soleus PE GP, Soleus Capital Management is the investment manager for Soleus PE and for Master Fund, and Soleus GP, LLC is the sole general partner of Soleus Capital Management. Guy Levy is the sole managing member of each of Soleus PE GP III, LLC and of Soleus GP, LLC. Each of Mr. Levy, Soleus PE GP III, LLC, Soleus PE GP, Soleus Capital Management and Soleus GP, LLC disclaims beneficial ownership of these shares held by Soleus PE other than for the purpose of determining their obligations under Section 13(d) of the Exchange Act, and the filing of this report shall not be deemed an admission that any of Mr. Levy, Soleus PE GP III, LLC, Soleus PE GP, Soleus Capital Management or Soleus GP, LLC is the beneficial owner of such shares for any other purpose.</w:t>
      </w:r>
    </w:p>
    <w:p>
      <w:pPr>
        <w:spacing w:after="0" w:line="188"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775,728,034 ordinary shares outstanding of the Issuer as of November 11, 2024, as set forth on the cover of the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20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86" w:lineRule="exact"/>
        <w:rPr>
          <w:sz w:val="20"/>
          <w:szCs w:val="20"/>
          <w:color w:val="auto"/>
        </w:rPr>
      </w:pPr>
    </w:p>
    <w:p>
      <w:pPr>
        <w:ind w:left="880" w:hanging="505"/>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Soleus Capital Master Fund, L.P.</w:t>
      </w:r>
    </w:p>
    <w:p>
      <w:pPr>
        <w:spacing w:after="0" w:line="144" w:lineRule="exact"/>
        <w:rPr>
          <w:sz w:val="20"/>
          <w:szCs w:val="20"/>
          <w:color w:val="auto"/>
        </w:rPr>
      </w:pPr>
    </w:p>
    <w:p>
      <w:pPr>
        <w:ind w:left="880" w:hanging="505"/>
        <w:spacing w:after="0"/>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sz w:val="20"/>
          <w:szCs w:val="20"/>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85" w:lineRule="exact"/>
        <w:rPr>
          <w:sz w:val="20"/>
          <w:szCs w:val="20"/>
          <w:color w:val="auto"/>
        </w:rPr>
      </w:pPr>
    </w:p>
    <w:p>
      <w:pPr>
        <w:ind w:left="880" w:hanging="505"/>
        <w:spacing w:after="0"/>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ind w:left="880" w:hanging="505"/>
        <w:spacing w:after="0"/>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w:t>
      </w:r>
    </w:p>
    <w:p>
      <w:pPr>
        <w:spacing w:after="0" w:line="144" w:lineRule="exact"/>
        <w:rPr>
          <w:rFonts w:ascii="Times New Roman" w:cs="Times New Roman" w:eastAsia="Times New Roman" w:hAnsi="Times New Roman"/>
          <w:sz w:val="18"/>
          <w:szCs w:val="18"/>
          <w:color w:val="auto"/>
        </w:rPr>
      </w:pPr>
    </w:p>
    <w:p>
      <w:pPr>
        <w:ind w:left="2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40" w:type="dxa"/>
            <w:vAlign w:val="bottom"/>
            <w:vMerge w:val="continue"/>
          </w:tcPr>
          <w:p>
            <w:pPr>
              <w:spacing w:after="0"/>
              <w:rPr>
                <w:sz w:val="11"/>
                <w:szCs w:val="11"/>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Pr>
          <w:p>
            <w:pPr>
              <w:spacing w:after="0"/>
              <w:rPr>
                <w:sz w:val="18"/>
                <w:szCs w:val="18"/>
                <w:color w:val="auto"/>
              </w:rPr>
            </w:pP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3,004,210 ordinary shares represented by 600,842 ADRs (1)</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PERSON</w:t>
            </w:r>
          </w:p>
        </w:tc>
        <w:tc>
          <w:tcPr>
            <w:tcW w:w="66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40" w:type="dxa"/>
            <w:vAlign w:val="bottom"/>
            <w:vMerge w:val="continue"/>
          </w:tcPr>
          <w:p>
            <w:pPr>
              <w:spacing w:after="0"/>
              <w:rPr>
                <w:sz w:val="8"/>
                <w:szCs w:val="8"/>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3,004,210 ordinary shares represented by 600,842 ADRs (1)</w:t>
      </w:r>
    </w:p>
    <w:p>
      <w:pPr>
        <w:spacing w:after="0" w:line="144" w:lineRule="exact"/>
        <w:rPr>
          <w:sz w:val="20"/>
          <w:szCs w:val="20"/>
          <w:color w:val="auto"/>
        </w:rPr>
      </w:pPr>
    </w:p>
    <w:p>
      <w:pPr>
        <w:ind w:left="880" w:hanging="505"/>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3,004,210 ordinary shares represented by 600,842 ADRs (1)</w:t>
      </w:r>
    </w:p>
    <w:p>
      <w:pPr>
        <w:spacing w:after="0" w:line="144" w:lineRule="exact"/>
        <w:rPr>
          <w:sz w:val="20"/>
          <w:szCs w:val="20"/>
          <w:color w:val="auto"/>
        </w:rPr>
      </w:pPr>
    </w:p>
    <w:p>
      <w:pPr>
        <w:ind w:left="880" w:hanging="550"/>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4"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80" w:right="5300" w:hanging="547"/>
        <w:spacing w:after="0" w:line="453"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0.4% (2)</w:t>
      </w:r>
    </w:p>
    <w:p>
      <w:pPr>
        <w:spacing w:after="0" w:line="1" w:lineRule="exact"/>
        <w:rPr>
          <w:rFonts w:ascii="Times New Roman" w:cs="Times New Roman" w:eastAsia="Times New Roman" w:hAnsi="Times New Roman"/>
          <w:sz w:val="18"/>
          <w:szCs w:val="18"/>
          <w:color w:val="auto"/>
        </w:rPr>
      </w:pPr>
    </w:p>
    <w:p>
      <w:pPr>
        <w:ind w:left="880" w:right="6020" w:hanging="550"/>
        <w:spacing w:after="0" w:line="53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FI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9" w:lineRule="exact"/>
        <w:rPr>
          <w:sz w:val="20"/>
          <w:szCs w:val="20"/>
          <w:color w:val="auto"/>
        </w:rPr>
      </w:pPr>
    </w:p>
    <w:p>
      <w:pPr>
        <w:ind w:left="340" w:right="20" w:hanging="332"/>
        <w:spacing w:after="0" w:line="255"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in this row are held directly by Master Fund. Soleus Capital, LLC is the sole general partner of Master Fund, Soleus Capital Group, LLC is the sole managing member of Soleus Capital, LLC, Soleus Capital Management is the investment manager for Soleus PE and for Master Fund, and Soleus GP, LLC is the sole general partner of Soleus Capital Management. Guy Levy is the sole managing member of each of Soleus Capital Group, LLC and of Soleus GP, LLC. Each of Soleus Capital Group, LLC, Soleus Capital, LLC, Soleus Capital Management, Soleus GP, LLC and Mr. Levy disclaims beneficial ownership of these shares held by Master Fund other than for the purpose of determining their obligations under Section 13(d) of the Exchange Act, and the filing of this report shall not be deemed an admission that any of Soleus Capital Group, LLC, Soleus Capital, LLC, Soleus Capital Management, Soleus GP, LLC or Mr. Levy is the beneficial owner of such shares for any other purpose.</w:t>
      </w:r>
    </w:p>
    <w:p>
      <w:pPr>
        <w:spacing w:after="0" w:line="188"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775,728,034 ordinary shares outstanding of the Issuer as of November 11, 2024, as set forth on the cover of the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20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86" w:lineRule="exact"/>
        <w:rPr>
          <w:sz w:val="20"/>
          <w:szCs w:val="20"/>
          <w:color w:val="auto"/>
        </w:rPr>
      </w:pPr>
    </w:p>
    <w:p>
      <w:pPr>
        <w:ind w:left="880" w:hanging="505"/>
        <w:spacing w:after="0"/>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Soleus Capital, LLC</w:t>
      </w:r>
    </w:p>
    <w:p>
      <w:pPr>
        <w:spacing w:after="0" w:line="144" w:lineRule="exact"/>
        <w:rPr>
          <w:sz w:val="20"/>
          <w:szCs w:val="20"/>
          <w:color w:val="auto"/>
        </w:rPr>
      </w:pPr>
    </w:p>
    <w:p>
      <w:pPr>
        <w:ind w:left="880" w:hanging="505"/>
        <w:spacing w:after="0"/>
        <w:tabs>
          <w:tab w:leader="none" w:pos="8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sz w:val="20"/>
          <w:szCs w:val="20"/>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85" w:lineRule="exact"/>
        <w:rPr>
          <w:sz w:val="20"/>
          <w:szCs w:val="20"/>
          <w:color w:val="auto"/>
        </w:rPr>
      </w:pPr>
    </w:p>
    <w:p>
      <w:pPr>
        <w:ind w:left="880" w:hanging="505"/>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ind w:left="880" w:hanging="505"/>
        <w:spacing w:after="0"/>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44" w:lineRule="exact"/>
        <w:rPr>
          <w:rFonts w:ascii="Times New Roman" w:cs="Times New Roman" w:eastAsia="Times New Roman" w:hAnsi="Times New Roman"/>
          <w:sz w:val="18"/>
          <w:szCs w:val="18"/>
          <w:color w:val="auto"/>
        </w:rPr>
      </w:pPr>
    </w:p>
    <w:p>
      <w:pPr>
        <w:ind w:left="2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40" w:type="dxa"/>
            <w:vAlign w:val="bottom"/>
            <w:vMerge w:val="continue"/>
          </w:tcPr>
          <w:p>
            <w:pPr>
              <w:spacing w:after="0"/>
              <w:rPr>
                <w:sz w:val="11"/>
                <w:szCs w:val="11"/>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Pr>
          <w:p>
            <w:pPr>
              <w:spacing w:after="0"/>
              <w:rPr>
                <w:sz w:val="18"/>
                <w:szCs w:val="18"/>
                <w:color w:val="auto"/>
              </w:rPr>
            </w:pP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3,004,210 ordinary shares represented by 600,842 ADRs (1)</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PERSON</w:t>
            </w:r>
          </w:p>
        </w:tc>
        <w:tc>
          <w:tcPr>
            <w:tcW w:w="66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40" w:type="dxa"/>
            <w:vAlign w:val="bottom"/>
            <w:vMerge w:val="continue"/>
          </w:tcPr>
          <w:p>
            <w:pPr>
              <w:spacing w:after="0"/>
              <w:rPr>
                <w:sz w:val="8"/>
                <w:szCs w:val="8"/>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3,004,210 ordinary shares represented by 600,842 ADRs (1)</w:t>
      </w:r>
    </w:p>
    <w:p>
      <w:pPr>
        <w:spacing w:after="0" w:line="144" w:lineRule="exact"/>
        <w:rPr>
          <w:sz w:val="20"/>
          <w:szCs w:val="20"/>
          <w:color w:val="auto"/>
        </w:rPr>
      </w:pPr>
    </w:p>
    <w:p>
      <w:pPr>
        <w:ind w:left="880" w:hanging="505"/>
        <w:spacing w:after="0"/>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3,004,210 ordinary shares represented by 600,842 ADRs (1)</w:t>
      </w:r>
    </w:p>
    <w:p>
      <w:pPr>
        <w:spacing w:after="0" w:line="144" w:lineRule="exact"/>
        <w:rPr>
          <w:sz w:val="20"/>
          <w:szCs w:val="20"/>
          <w:color w:val="auto"/>
        </w:rPr>
      </w:pPr>
    </w:p>
    <w:p>
      <w:pPr>
        <w:ind w:left="880" w:hanging="550"/>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4"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80" w:right="5300" w:hanging="547"/>
        <w:spacing w:after="0" w:line="453"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0.4% (2)</w:t>
      </w:r>
    </w:p>
    <w:p>
      <w:pPr>
        <w:spacing w:after="0" w:line="1" w:lineRule="exact"/>
        <w:rPr>
          <w:rFonts w:ascii="Times New Roman" w:cs="Times New Roman" w:eastAsia="Times New Roman" w:hAnsi="Times New Roman"/>
          <w:sz w:val="18"/>
          <w:szCs w:val="18"/>
          <w:color w:val="auto"/>
        </w:rPr>
      </w:pPr>
    </w:p>
    <w:p>
      <w:pPr>
        <w:ind w:left="880" w:right="6020" w:hanging="550"/>
        <w:spacing w:after="0" w:line="532"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9" w:lineRule="exact"/>
        <w:rPr>
          <w:sz w:val="20"/>
          <w:szCs w:val="20"/>
          <w:color w:val="auto"/>
        </w:rPr>
      </w:pPr>
    </w:p>
    <w:p>
      <w:pPr>
        <w:ind w:left="340" w:right="20" w:hanging="332"/>
        <w:spacing w:after="0" w:line="255"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in this row are held directly by Master Fund. Soleus Capital, LLC is the sole general partner of Master Fund, Soleus Capital Group, LLC is the sole managing member of Soleus Capital, LLC, Soleus Capital Management is the investment manager for Soleus PE and for Master Fund, and Soleus GP, LLC is the sole general partner of Soleus Capital Management. Guy Levy is the sole managing member of each of Soleus Capital Group, LLC and of Soleus GP, LLC. Each of Soleus Capital Group, LLC, Soleus Capital, LLC, Soleus Capital Management, Soleus GP, LLC and Mr. Levy disclaims beneficial ownership of these shares held by Master Fund other than for the purpose of determining their obligations under Section 13(d) of the Exchange Act, and the filing of this report shall not be deemed an admission that any of Soleus Capital Group, LLC, Soleus Capital, LLC, Soleus Capital Management, Soleus GP, LLC or Mr. Levy is the beneficial owner of such shares for any other purpose.</w:t>
      </w:r>
    </w:p>
    <w:p>
      <w:pPr>
        <w:spacing w:after="0" w:line="188"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775,728,034 ordinary shares outstanding of the Issuer as of November 11, 2024, as set forth on the cover of the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20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86" w:lineRule="exact"/>
        <w:rPr>
          <w:sz w:val="20"/>
          <w:szCs w:val="20"/>
          <w:color w:val="auto"/>
        </w:rPr>
      </w:pPr>
    </w:p>
    <w:p>
      <w:pPr>
        <w:ind w:left="880" w:hanging="505"/>
        <w:spacing w:after="0"/>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Soleus Capital Group, LLC</w:t>
      </w:r>
    </w:p>
    <w:p>
      <w:pPr>
        <w:spacing w:after="0" w:line="144" w:lineRule="exact"/>
        <w:rPr>
          <w:sz w:val="20"/>
          <w:szCs w:val="20"/>
          <w:color w:val="auto"/>
        </w:rPr>
      </w:pPr>
    </w:p>
    <w:p>
      <w:pPr>
        <w:ind w:left="880" w:hanging="505"/>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sz w:val="20"/>
          <w:szCs w:val="20"/>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85" w:lineRule="exact"/>
        <w:rPr>
          <w:sz w:val="20"/>
          <w:szCs w:val="20"/>
          <w:color w:val="auto"/>
        </w:rPr>
      </w:pPr>
    </w:p>
    <w:p>
      <w:pPr>
        <w:ind w:left="880" w:hanging="505"/>
        <w:spacing w:after="0"/>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ind w:left="880" w:hanging="505"/>
        <w:spacing w:after="0"/>
        <w:tabs>
          <w:tab w:leader="none" w:pos="8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44" w:lineRule="exact"/>
        <w:rPr>
          <w:rFonts w:ascii="Times New Roman" w:cs="Times New Roman" w:eastAsia="Times New Roman" w:hAnsi="Times New Roman"/>
          <w:sz w:val="18"/>
          <w:szCs w:val="18"/>
          <w:color w:val="auto"/>
        </w:rPr>
      </w:pPr>
    </w:p>
    <w:p>
      <w:pPr>
        <w:ind w:left="2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40" w:type="dxa"/>
            <w:vAlign w:val="bottom"/>
            <w:vMerge w:val="continue"/>
          </w:tcPr>
          <w:p>
            <w:pPr>
              <w:spacing w:after="0"/>
              <w:rPr>
                <w:sz w:val="11"/>
                <w:szCs w:val="11"/>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Pr>
          <w:p>
            <w:pPr>
              <w:spacing w:after="0"/>
              <w:rPr>
                <w:sz w:val="18"/>
                <w:szCs w:val="18"/>
                <w:color w:val="auto"/>
              </w:rPr>
            </w:pP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3,004,210 ordinary shares represented by 600,842 ADRs (1)</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PERSON</w:t>
            </w:r>
          </w:p>
        </w:tc>
        <w:tc>
          <w:tcPr>
            <w:tcW w:w="66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40" w:type="dxa"/>
            <w:vAlign w:val="bottom"/>
            <w:vMerge w:val="continue"/>
          </w:tcPr>
          <w:p>
            <w:pPr>
              <w:spacing w:after="0"/>
              <w:rPr>
                <w:sz w:val="8"/>
                <w:szCs w:val="8"/>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3,004,210 ordinary shares represented by 600,842 ADRs (1)</w:t>
      </w:r>
    </w:p>
    <w:p>
      <w:pPr>
        <w:spacing w:after="0" w:line="144" w:lineRule="exact"/>
        <w:rPr>
          <w:sz w:val="20"/>
          <w:szCs w:val="20"/>
          <w:color w:val="auto"/>
        </w:rPr>
      </w:pPr>
    </w:p>
    <w:p>
      <w:pPr>
        <w:ind w:left="880" w:hanging="505"/>
        <w:spacing w:after="0"/>
        <w:tabs>
          <w:tab w:leader="none" w:pos="8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3,004,210 ordinary shares represented by 600,842 ADRs (1)</w:t>
      </w:r>
    </w:p>
    <w:p>
      <w:pPr>
        <w:spacing w:after="0" w:line="144" w:lineRule="exact"/>
        <w:rPr>
          <w:sz w:val="20"/>
          <w:szCs w:val="20"/>
          <w:color w:val="auto"/>
        </w:rPr>
      </w:pPr>
    </w:p>
    <w:p>
      <w:pPr>
        <w:ind w:left="880" w:hanging="550"/>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4"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80" w:right="5300" w:hanging="547"/>
        <w:spacing w:after="0" w:line="453"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0.4% (2)</w:t>
      </w:r>
    </w:p>
    <w:p>
      <w:pPr>
        <w:spacing w:after="0" w:line="1" w:lineRule="exact"/>
        <w:rPr>
          <w:rFonts w:ascii="Times New Roman" w:cs="Times New Roman" w:eastAsia="Times New Roman" w:hAnsi="Times New Roman"/>
          <w:sz w:val="18"/>
          <w:szCs w:val="18"/>
          <w:color w:val="auto"/>
        </w:rPr>
      </w:pPr>
    </w:p>
    <w:p>
      <w:pPr>
        <w:ind w:left="880" w:right="6020" w:hanging="550"/>
        <w:spacing w:after="0" w:line="532"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9" w:lineRule="exact"/>
        <w:rPr>
          <w:sz w:val="20"/>
          <w:szCs w:val="20"/>
          <w:color w:val="auto"/>
        </w:rPr>
      </w:pPr>
    </w:p>
    <w:p>
      <w:pPr>
        <w:ind w:left="340" w:right="20" w:hanging="332"/>
        <w:spacing w:after="0" w:line="255"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in this row are held directly by Master Fund. Soleus Capital, LLC is the sole general partner of Master Fund, Soleus Capital Group, LLC is the sole managing member of Soleus Capital, LLC, Soleus Capital Management is the investment manager for Soleus PE and for Master Fund, and Soleus GP, LLC is the sole general partner of Soleus Capital Management. Guy Levy is the sole managing member of each of Soleus Capital Group, LLC and of Soleus GP, LLC. Each of Soleus Capital Group, LLC, Soleus Capital, LLC, Soleus Capital Management, Soleus GP, LLC and Mr. Levy disclaims beneficial ownership of these shares held by Master Fund other than for the purpose of determining their obligations under Section 13(d) of the Exchange Act, and the filing of this report shall not be deemed an admission that any of Soleus Capital Group, LLC, Soleus Capital, LLC, Soleus Capital Management, Soleus GP, LLC or Mr. Levy is the beneficial owner of such shares for any other purpose.</w:t>
      </w:r>
    </w:p>
    <w:p>
      <w:pPr>
        <w:spacing w:after="0" w:line="188"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775,728,034 ordinary shares outstanding of the Issuer as of November 11, 2024, as set forth on the cover of the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207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86" w:lineRule="exact"/>
        <w:rPr>
          <w:sz w:val="20"/>
          <w:szCs w:val="20"/>
          <w:color w:val="auto"/>
        </w:rPr>
      </w:pPr>
    </w:p>
    <w:p>
      <w:pPr>
        <w:ind w:left="880" w:hanging="505"/>
        <w:spacing w:after="0"/>
        <w:tabs>
          <w:tab w:leader="none" w:pos="8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Soleus Capital Management, L.P.</w:t>
      </w:r>
    </w:p>
    <w:p>
      <w:pPr>
        <w:spacing w:after="0" w:line="144" w:lineRule="exact"/>
        <w:rPr>
          <w:sz w:val="20"/>
          <w:szCs w:val="20"/>
          <w:color w:val="auto"/>
        </w:rPr>
      </w:pPr>
    </w:p>
    <w:p>
      <w:pPr>
        <w:ind w:left="880" w:hanging="505"/>
        <w:spacing w:after="0"/>
        <w:tabs>
          <w:tab w:leader="none" w:pos="8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sz w:val="20"/>
          <w:szCs w:val="20"/>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85" w:lineRule="exact"/>
        <w:rPr>
          <w:sz w:val="20"/>
          <w:szCs w:val="20"/>
          <w:color w:val="auto"/>
        </w:rPr>
      </w:pPr>
    </w:p>
    <w:p>
      <w:pPr>
        <w:ind w:left="880" w:hanging="505"/>
        <w:spacing w:after="0"/>
        <w:tabs>
          <w:tab w:leader="none" w:pos="8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ind w:left="880" w:hanging="505"/>
        <w:spacing w:after="0"/>
        <w:tabs>
          <w:tab w:leader="none" w:pos="8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44" w:lineRule="exact"/>
        <w:rPr>
          <w:rFonts w:ascii="Times New Roman" w:cs="Times New Roman" w:eastAsia="Times New Roman" w:hAnsi="Times New Roman"/>
          <w:sz w:val="18"/>
          <w:szCs w:val="18"/>
          <w:color w:val="auto"/>
        </w:rPr>
      </w:pPr>
    </w:p>
    <w:p>
      <w:pPr>
        <w:ind w:left="2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40" w:type="dxa"/>
            <w:vAlign w:val="bottom"/>
            <w:vMerge w:val="continue"/>
          </w:tcPr>
          <w:p>
            <w:pPr>
              <w:spacing w:after="0"/>
              <w:rPr>
                <w:sz w:val="11"/>
                <w:szCs w:val="11"/>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Pr>
          <w:p>
            <w:pPr>
              <w:spacing w:after="0"/>
              <w:rPr>
                <w:sz w:val="18"/>
                <w:szCs w:val="18"/>
                <w:color w:val="auto"/>
              </w:rPr>
            </w:pP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4,234,765 ordinary shares represented by 846,953 ADRs (1)</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PERSON</w:t>
            </w:r>
          </w:p>
        </w:tc>
        <w:tc>
          <w:tcPr>
            <w:tcW w:w="66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40" w:type="dxa"/>
            <w:vAlign w:val="bottom"/>
            <w:vMerge w:val="continue"/>
          </w:tcPr>
          <w:p>
            <w:pPr>
              <w:spacing w:after="0"/>
              <w:rPr>
                <w:sz w:val="8"/>
                <w:szCs w:val="8"/>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4,234,765 ordinary shares represented by 846,953 ADRs (1)</w:t>
      </w:r>
    </w:p>
    <w:p>
      <w:pPr>
        <w:spacing w:after="0" w:line="144" w:lineRule="exact"/>
        <w:rPr>
          <w:sz w:val="20"/>
          <w:szCs w:val="20"/>
          <w:color w:val="auto"/>
        </w:rPr>
      </w:pPr>
    </w:p>
    <w:p>
      <w:pPr>
        <w:ind w:left="880" w:hanging="505"/>
        <w:spacing w:after="0"/>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4,234,765 ordinary shares represented by 846,953 ADRs (1)</w:t>
      </w:r>
    </w:p>
    <w:p>
      <w:pPr>
        <w:spacing w:after="0" w:line="144" w:lineRule="exact"/>
        <w:rPr>
          <w:sz w:val="20"/>
          <w:szCs w:val="20"/>
          <w:color w:val="auto"/>
        </w:rPr>
      </w:pPr>
    </w:p>
    <w:p>
      <w:pPr>
        <w:ind w:left="880" w:hanging="550"/>
        <w:spacing w:after="0"/>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4"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80" w:right="5300" w:hanging="547"/>
        <w:spacing w:after="0" w:line="453"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0.5% (2)</w:t>
      </w:r>
    </w:p>
    <w:p>
      <w:pPr>
        <w:spacing w:after="0" w:line="1" w:lineRule="exact"/>
        <w:rPr>
          <w:rFonts w:ascii="Times New Roman" w:cs="Times New Roman" w:eastAsia="Times New Roman" w:hAnsi="Times New Roman"/>
          <w:sz w:val="18"/>
          <w:szCs w:val="18"/>
          <w:color w:val="auto"/>
        </w:rPr>
      </w:pPr>
    </w:p>
    <w:p>
      <w:pPr>
        <w:ind w:left="880" w:right="6020" w:hanging="550"/>
        <w:spacing w:after="0" w:line="532"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9" w:lineRule="exact"/>
        <w:rPr>
          <w:sz w:val="20"/>
          <w:szCs w:val="20"/>
          <w:color w:val="auto"/>
        </w:rPr>
      </w:pPr>
    </w:p>
    <w:p>
      <w:pPr>
        <w:ind w:left="340" w:right="80" w:hanging="332"/>
        <w:spacing w:after="0" w:line="253"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in this row are held directly by Soleus PE and by Master Fund. Soleus PE GP is the sole general partner of Soleus PE, Soleus PE GP III, LLC is the sole manager of Soleus PE GP, Soleus Capital Management is the investment manager for Soleus PE, and Soleus GP, LLC is the sole general partner of Soleus Capital Management. Soleus Capital, LLC is the sole general partner of Master Fund, Soleus Capital Group, LLC is the sole managing member of Soleus Capital, LLC, Soleus Capital Management is the investment manager for Master Fund, and Soleus GP, LLC is the sole general partner of Soleus Capital Management. Guy Levy is the sole managing member of each of Soleus PE GP III, LLC, Soleus Capital Group, LLC and Soleus GP, LLC. Each of Soleus PE GP, Soleus PE GP III, LLC, Soleus Capital, LLC, Soleus Capital Group, LLC, Soleus Capital Management,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Soleus PE GP, Soleus PE GP III, LLC, Soleus Capital, LLC, Soleus Capital Group, LLC, Soleus Capital Management, Soleus GP, LLC or Mr. Levy is the beneficial owner of such shares for any other purpose.</w:t>
      </w:r>
    </w:p>
    <w:p>
      <w:pPr>
        <w:spacing w:after="0" w:line="194"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775,728,034 ordinary shares outstanding of the Issuer as of November 11, 2024, as set forth on the cover of the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20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86" w:lineRule="exact"/>
        <w:rPr>
          <w:sz w:val="20"/>
          <w:szCs w:val="20"/>
          <w:color w:val="auto"/>
        </w:rPr>
      </w:pPr>
    </w:p>
    <w:p>
      <w:pPr>
        <w:ind w:left="880" w:hanging="505"/>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Soleus GP, LLC</w:t>
      </w:r>
    </w:p>
    <w:p>
      <w:pPr>
        <w:spacing w:after="0" w:line="144" w:lineRule="exact"/>
        <w:rPr>
          <w:sz w:val="20"/>
          <w:szCs w:val="20"/>
          <w:color w:val="auto"/>
        </w:rPr>
      </w:pPr>
    </w:p>
    <w:p>
      <w:pPr>
        <w:ind w:left="880" w:hanging="505"/>
        <w:spacing w:after="0"/>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sz w:val="20"/>
          <w:szCs w:val="20"/>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85" w:lineRule="exact"/>
        <w:rPr>
          <w:sz w:val="20"/>
          <w:szCs w:val="20"/>
          <w:color w:val="auto"/>
        </w:rPr>
      </w:pPr>
    </w:p>
    <w:p>
      <w:pPr>
        <w:ind w:left="880" w:hanging="505"/>
        <w:spacing w:after="0"/>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ind w:left="880" w:hanging="505"/>
        <w:spacing w:after="0"/>
        <w:tabs>
          <w:tab w:leader="none" w:pos="8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144" w:lineRule="exact"/>
        <w:rPr>
          <w:rFonts w:ascii="Times New Roman" w:cs="Times New Roman" w:eastAsia="Times New Roman" w:hAnsi="Times New Roman"/>
          <w:sz w:val="18"/>
          <w:szCs w:val="18"/>
          <w:color w:val="auto"/>
        </w:rPr>
      </w:pPr>
    </w:p>
    <w:p>
      <w:pPr>
        <w:ind w:left="2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40" w:type="dxa"/>
            <w:vAlign w:val="bottom"/>
            <w:vMerge w:val="continue"/>
          </w:tcPr>
          <w:p>
            <w:pPr>
              <w:spacing w:after="0"/>
              <w:rPr>
                <w:sz w:val="11"/>
                <w:szCs w:val="11"/>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Pr>
          <w:p>
            <w:pPr>
              <w:spacing w:after="0"/>
              <w:rPr>
                <w:sz w:val="18"/>
                <w:szCs w:val="18"/>
                <w:color w:val="auto"/>
              </w:rPr>
            </w:pP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4,234,765 ordinary shares represented by 846,953 ADRs (1)</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PERSON</w:t>
            </w:r>
          </w:p>
        </w:tc>
        <w:tc>
          <w:tcPr>
            <w:tcW w:w="66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40" w:type="dxa"/>
            <w:vAlign w:val="bottom"/>
            <w:vMerge w:val="continue"/>
          </w:tcPr>
          <w:p>
            <w:pPr>
              <w:spacing w:after="0"/>
              <w:rPr>
                <w:sz w:val="8"/>
                <w:szCs w:val="8"/>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4,234,765 ordinary shares represented by 846,953 ADRs (1)</w:t>
      </w:r>
    </w:p>
    <w:p>
      <w:pPr>
        <w:spacing w:after="0" w:line="144" w:lineRule="exact"/>
        <w:rPr>
          <w:sz w:val="20"/>
          <w:szCs w:val="20"/>
          <w:color w:val="auto"/>
        </w:rPr>
      </w:pPr>
    </w:p>
    <w:p>
      <w:pPr>
        <w:ind w:left="880" w:hanging="505"/>
        <w:spacing w:after="0"/>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4,234,765 ordinary shares represented by 846,953 ADRs (1)</w:t>
      </w:r>
    </w:p>
    <w:p>
      <w:pPr>
        <w:spacing w:after="0" w:line="144" w:lineRule="exact"/>
        <w:rPr>
          <w:sz w:val="20"/>
          <w:szCs w:val="20"/>
          <w:color w:val="auto"/>
        </w:rPr>
      </w:pPr>
    </w:p>
    <w:p>
      <w:pPr>
        <w:ind w:left="880" w:hanging="550"/>
        <w:spacing w:after="0"/>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4"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80" w:right="5300" w:hanging="547"/>
        <w:spacing w:after="0" w:line="453" w:lineRule="auto"/>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0.5% (2)</w:t>
      </w:r>
    </w:p>
    <w:p>
      <w:pPr>
        <w:spacing w:after="0" w:line="1" w:lineRule="exact"/>
        <w:rPr>
          <w:rFonts w:ascii="Times New Roman" w:cs="Times New Roman" w:eastAsia="Times New Roman" w:hAnsi="Times New Roman"/>
          <w:sz w:val="18"/>
          <w:szCs w:val="18"/>
          <w:color w:val="auto"/>
        </w:rPr>
      </w:pPr>
    </w:p>
    <w:p>
      <w:pPr>
        <w:ind w:left="880" w:right="6020" w:hanging="550"/>
        <w:spacing w:after="0" w:line="532" w:lineRule="auto"/>
        <w:tabs>
          <w:tab w:leader="none" w:pos="8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9" w:lineRule="exact"/>
        <w:rPr>
          <w:sz w:val="20"/>
          <w:szCs w:val="20"/>
          <w:color w:val="auto"/>
        </w:rPr>
      </w:pPr>
    </w:p>
    <w:p>
      <w:pPr>
        <w:ind w:left="340" w:right="80" w:hanging="332"/>
        <w:spacing w:after="0" w:line="253"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in this row are held directly by Soleus PE and by Master Fund. Soleus PE GP is the sole general partner of Soleus PE, Soleus PE GP III, LLC is the sole manager of Soleus PE GP, Soleus Capital Management is the investment manager for Soleus PE, and Soleus GP, LLC is the sole general partner of Soleus Capital Management. Soleus Capital, LLC is the sole general partner of Master Fund, Soleus Capital Group, LLC is the sole managing member of Soleus Capital, LLC, Soleus Capital Management is the investment manager for Master Fund, and Soleus GP, LLC is the sole general partner of Soleus Capital Management. Guy Levy is the sole managing member of each of Soleus PE GP III, LLC, Soleus Capital Group, LLC and Soleus GP, LLC. Each of Soleus PE GP, Soleus PE GP III, LLC, Soleus Capital, LLC, Soleus Capital Group, LLC, Soleus Capital Management,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Soleus PE GP, Soleus PE GP III, LLC, Soleus Capital, LLC, Soleus Capital Group, LLC, Soleus Capital Management, Soleus GP, LLC or Mr. Levy is the beneficial owner of such shares for any other purpose.</w:t>
      </w:r>
    </w:p>
    <w:p>
      <w:pPr>
        <w:spacing w:after="0" w:line="194"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775,728,034 ordinary shares outstanding of the Issuer as of November 11, 2024, as set forth on the cover of the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CUSIP NO. 589492107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6120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6120765"/>
                    </a:xfrm>
                    <a:prstGeom prst="rect">
                      <a:avLst/>
                    </a:prstGeom>
                    <a:noFill/>
                  </pic:spPr>
                </pic:pic>
              </a:graphicData>
            </a:graphic>
          </wp:anchor>
        </w:drawing>
      </w:r>
    </w:p>
    <w:p>
      <w:pPr>
        <w:spacing w:after="0" w:line="286" w:lineRule="exact"/>
        <w:rPr>
          <w:sz w:val="20"/>
          <w:szCs w:val="20"/>
          <w:color w:val="auto"/>
        </w:rPr>
      </w:pPr>
    </w:p>
    <w:p>
      <w:pPr>
        <w:ind w:left="880" w:hanging="505"/>
        <w:spacing w:after="0"/>
        <w:tabs>
          <w:tab w:leader="none" w:pos="8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Guy Levy</w:t>
      </w:r>
    </w:p>
    <w:p>
      <w:pPr>
        <w:spacing w:after="0" w:line="144" w:lineRule="exact"/>
        <w:rPr>
          <w:sz w:val="20"/>
          <w:szCs w:val="20"/>
          <w:color w:val="auto"/>
        </w:rPr>
      </w:pPr>
    </w:p>
    <w:p>
      <w:pPr>
        <w:ind w:left="880" w:hanging="505"/>
        <w:spacing w:after="0"/>
        <w:tabs>
          <w:tab w:leader="none" w:pos="8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4" w:lineRule="exact"/>
        <w:rPr>
          <w:sz w:val="20"/>
          <w:szCs w:val="20"/>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185" w:lineRule="exact"/>
        <w:rPr>
          <w:sz w:val="20"/>
          <w:szCs w:val="20"/>
          <w:color w:val="auto"/>
        </w:rPr>
      </w:pPr>
    </w:p>
    <w:p>
      <w:pPr>
        <w:ind w:left="880" w:hanging="505"/>
        <w:spacing w:after="0"/>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sz w:val="20"/>
          <w:szCs w:val="20"/>
          <w:color w:val="auto"/>
        </w:rPr>
      </w:pPr>
    </w:p>
    <w:p>
      <w:pPr>
        <w:spacing w:after="0" w:line="376" w:lineRule="exact"/>
        <w:rPr>
          <w:sz w:val="20"/>
          <w:szCs w:val="20"/>
          <w:color w:val="auto"/>
        </w:rPr>
      </w:pPr>
    </w:p>
    <w:p>
      <w:pPr>
        <w:ind w:left="880" w:hanging="505"/>
        <w:spacing w:after="0"/>
        <w:tabs>
          <w:tab w:leader="none" w:pos="8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w:t>
      </w:r>
    </w:p>
    <w:p>
      <w:pPr>
        <w:spacing w:after="0" w:line="144" w:lineRule="exact"/>
        <w:rPr>
          <w:rFonts w:ascii="Times New Roman" w:cs="Times New Roman" w:eastAsia="Times New Roman" w:hAnsi="Times New Roman"/>
          <w:sz w:val="18"/>
          <w:szCs w:val="18"/>
          <w:color w:val="auto"/>
        </w:rPr>
      </w:pPr>
    </w:p>
    <w:p>
      <w:pPr>
        <w:ind w:left="2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7"/>
          <w:szCs w:val="17"/>
          <w:color w:val="auto"/>
        </w:rPr>
        <w:t>SOLE VOTING POWER</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NUMBER OF</w:t>
            </w:r>
          </w:p>
        </w:tc>
        <w:tc>
          <w:tcPr>
            <w:tcW w:w="6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640" w:type="dxa"/>
            <w:vAlign w:val="bottom"/>
            <w:vMerge w:val="continue"/>
          </w:tcPr>
          <w:p>
            <w:pPr>
              <w:spacing w:after="0"/>
              <w:rPr>
                <w:sz w:val="11"/>
                <w:szCs w:val="11"/>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vMerge w:val="continue"/>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64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8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BENEFICIALLY</w:t>
            </w:r>
          </w:p>
        </w:tc>
        <w:tc>
          <w:tcPr>
            <w:tcW w:w="660" w:type="dxa"/>
            <w:vAlign w:val="bottom"/>
          </w:tcPr>
          <w:p>
            <w:pPr>
              <w:spacing w:after="0"/>
              <w:rPr>
                <w:sz w:val="18"/>
                <w:szCs w:val="18"/>
                <w:color w:val="auto"/>
              </w:rPr>
            </w:pP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4,234,765 ordinary shares represented by 846,953 ADRs (1)</w:t>
            </w:r>
          </w:p>
        </w:tc>
        <w:tc>
          <w:tcPr>
            <w:tcW w:w="0" w:type="dxa"/>
            <w:vAlign w:val="bottom"/>
          </w:tcPr>
          <w:p>
            <w:pPr>
              <w:spacing w:after="0"/>
              <w:rPr>
                <w:sz w:val="1"/>
                <w:szCs w:val="1"/>
                <w:color w:val="auto"/>
              </w:rPr>
            </w:pPr>
          </w:p>
        </w:tc>
      </w:tr>
      <w:tr>
        <w:trPr>
          <w:trHeight w:val="140"/>
        </w:trPr>
        <w:tc>
          <w:tcPr>
            <w:tcW w:w="1640" w:type="dxa"/>
            <w:vAlign w:val="bottom"/>
            <w:vMerge w:val="restart"/>
          </w:tcPr>
          <w:p>
            <w:pPr>
              <w:jc w:val="center"/>
              <w:ind w:right="270"/>
              <w:spacing w:after="0" w:line="194" w:lineRule="exact"/>
              <w:rPr>
                <w:sz w:val="20"/>
                <w:szCs w:val="20"/>
                <w:color w:val="auto"/>
              </w:rPr>
            </w:pPr>
            <w:r>
              <w:rPr>
                <w:rFonts w:ascii="Times New Roman" w:cs="Times New Roman" w:eastAsia="Times New Roman" w:hAnsi="Times New Roman"/>
                <w:sz w:val="18"/>
                <w:szCs w:val="18"/>
                <w:color w:val="auto"/>
                <w:w w:val="99"/>
              </w:rPr>
              <w:t>OWNED BY</w:t>
            </w:r>
          </w:p>
        </w:tc>
        <w:tc>
          <w:tcPr>
            <w:tcW w:w="660" w:type="dxa"/>
            <w:vAlign w:val="bottom"/>
          </w:tcPr>
          <w:p>
            <w:pPr>
              <w:spacing w:after="0"/>
              <w:rPr>
                <w:sz w:val="12"/>
                <w:szCs w:val="12"/>
                <w:color w:val="auto"/>
              </w:rPr>
            </w:pPr>
          </w:p>
        </w:tc>
        <w:tc>
          <w:tcPr>
            <w:tcW w:w="8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1640" w:type="dxa"/>
            <w:vAlign w:val="bottom"/>
            <w:vMerge w:val="continue"/>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EACH</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1"/>
        </w:trPr>
        <w:tc>
          <w:tcPr>
            <w:tcW w:w="16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REPORTING</w:t>
            </w:r>
          </w:p>
        </w:tc>
        <w:tc>
          <w:tcPr>
            <w:tcW w:w="660" w:type="dxa"/>
            <w:vAlign w:val="bottom"/>
          </w:tcPr>
          <w:p>
            <w:pPr>
              <w:spacing w:after="0"/>
              <w:rPr>
                <w:sz w:val="18"/>
                <w:szCs w:val="18"/>
                <w:color w:val="auto"/>
              </w:rPr>
            </w:pPr>
          </w:p>
        </w:tc>
        <w:tc>
          <w:tcPr>
            <w:tcW w:w="8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PERSON</w:t>
            </w:r>
          </w:p>
        </w:tc>
        <w:tc>
          <w:tcPr>
            <w:tcW w:w="660" w:type="dxa"/>
            <w:vAlign w:val="bottom"/>
          </w:tcPr>
          <w:p>
            <w:pPr>
              <w:spacing w:after="0"/>
              <w:rPr>
                <w:sz w:val="19"/>
                <w:szCs w:val="19"/>
                <w:color w:val="auto"/>
              </w:rPr>
            </w:pPr>
          </w:p>
        </w:tc>
        <w:tc>
          <w:tcPr>
            <w:tcW w:w="8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5"/>
        </w:trPr>
        <w:tc>
          <w:tcPr>
            <w:tcW w:w="1640" w:type="dxa"/>
            <w:vAlign w:val="bottom"/>
            <w:vMerge w:val="restart"/>
          </w:tcPr>
          <w:p>
            <w:pPr>
              <w:jc w:val="center"/>
              <w:ind w:right="270"/>
              <w:spacing w:after="0"/>
              <w:rPr>
                <w:sz w:val="20"/>
                <w:szCs w:val="20"/>
                <w:color w:val="auto"/>
              </w:rPr>
            </w:pPr>
            <w:r>
              <w:rPr>
                <w:rFonts w:ascii="Times New Roman" w:cs="Times New Roman" w:eastAsia="Times New Roman" w:hAnsi="Times New Roman"/>
                <w:sz w:val="18"/>
                <w:szCs w:val="18"/>
                <w:color w:val="auto"/>
                <w:w w:val="99"/>
              </w:rPr>
              <w:t>WITH:</w:t>
            </w:r>
          </w:p>
        </w:tc>
        <w:tc>
          <w:tcPr>
            <w:tcW w:w="660" w:type="dxa"/>
            <w:vAlign w:val="bottom"/>
            <w:tcBorders>
              <w:bottom w:val="single" w:sz="8" w:color="auto"/>
            </w:tcBorders>
          </w:tcPr>
          <w:p>
            <w:pPr>
              <w:spacing w:after="0"/>
              <w:rPr>
                <w:sz w:val="10"/>
                <w:szCs w:val="10"/>
                <w:color w:val="auto"/>
              </w:rPr>
            </w:pPr>
          </w:p>
        </w:tc>
        <w:tc>
          <w:tcPr>
            <w:tcW w:w="85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40" w:type="dxa"/>
            <w:vAlign w:val="bottom"/>
            <w:vMerge w:val="continue"/>
          </w:tcPr>
          <w:p>
            <w:pPr>
              <w:spacing w:after="0"/>
              <w:rPr>
                <w:sz w:val="8"/>
                <w:szCs w:val="8"/>
                <w:color w:val="auto"/>
              </w:rPr>
            </w:pPr>
          </w:p>
        </w:tc>
        <w:tc>
          <w:tcPr>
            <w:tcW w:w="6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85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71"/>
        </w:trPr>
        <w:tc>
          <w:tcPr>
            <w:tcW w:w="16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4,234,765 ordinary shares represented by 846,953 ADRs (1)</w:t>
      </w:r>
    </w:p>
    <w:p>
      <w:pPr>
        <w:spacing w:after="0" w:line="144" w:lineRule="exact"/>
        <w:rPr>
          <w:sz w:val="20"/>
          <w:szCs w:val="20"/>
          <w:color w:val="auto"/>
        </w:rPr>
      </w:pPr>
    </w:p>
    <w:p>
      <w:pPr>
        <w:ind w:left="880" w:hanging="505"/>
        <w:spacing w:after="0"/>
        <w:tabs>
          <w:tab w:leader="none" w:pos="8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4,234,765 ordinary shares represented by 846,953 ADRs (1)</w:t>
      </w:r>
    </w:p>
    <w:p>
      <w:pPr>
        <w:spacing w:after="0" w:line="144" w:lineRule="exact"/>
        <w:rPr>
          <w:sz w:val="20"/>
          <w:szCs w:val="20"/>
          <w:color w:val="auto"/>
        </w:rPr>
      </w:pPr>
    </w:p>
    <w:p>
      <w:pPr>
        <w:ind w:left="880" w:hanging="550"/>
        <w:spacing w:after="0"/>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w:t>
      </w:r>
    </w:p>
    <w:p>
      <w:pPr>
        <w:spacing w:after="0" w:line="184" w:lineRule="exact"/>
        <w:rPr>
          <w:rFonts w:ascii="Times New Roman" w:cs="Times New Roman" w:eastAsia="Times New Roman" w:hAnsi="Times New Roman"/>
          <w:sz w:val="18"/>
          <w:szCs w:val="18"/>
          <w:color w:val="auto"/>
        </w:rPr>
      </w:pPr>
    </w:p>
    <w:p>
      <w:pPr>
        <w:ind w:left="8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11" w:lineRule="exact"/>
        <w:rPr>
          <w:rFonts w:ascii="Times New Roman" w:cs="Times New Roman" w:eastAsia="Times New Roman" w:hAnsi="Times New Roman"/>
          <w:sz w:val="18"/>
          <w:szCs w:val="18"/>
          <w:color w:val="auto"/>
        </w:rPr>
      </w:pPr>
    </w:p>
    <w:p>
      <w:pPr>
        <w:ind w:left="880" w:right="5300" w:hanging="547"/>
        <w:spacing w:after="0" w:line="453"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0.5% (2)</w:t>
      </w:r>
    </w:p>
    <w:p>
      <w:pPr>
        <w:spacing w:after="0" w:line="1" w:lineRule="exact"/>
        <w:rPr>
          <w:rFonts w:ascii="Times New Roman" w:cs="Times New Roman" w:eastAsia="Times New Roman" w:hAnsi="Times New Roman"/>
          <w:sz w:val="18"/>
          <w:szCs w:val="18"/>
          <w:color w:val="auto"/>
        </w:rPr>
      </w:pPr>
    </w:p>
    <w:p>
      <w:pPr>
        <w:ind w:left="880" w:right="6020" w:hanging="550"/>
        <w:spacing w:after="0" w:line="532"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9" w:lineRule="exact"/>
        <w:rPr>
          <w:sz w:val="20"/>
          <w:szCs w:val="20"/>
          <w:color w:val="auto"/>
        </w:rPr>
      </w:pPr>
    </w:p>
    <w:p>
      <w:pPr>
        <w:ind w:left="340" w:right="80" w:hanging="332"/>
        <w:spacing w:after="0" w:line="253"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in this row are held directly by Soleus PE and by Master Fund. Soleus PE GP is the sole general partner of Soleus PE, Soleus PE GP III, LLC is the sole manager of Soleus PE GP, Soleus Capital Management is the investment manager for Soleus PE, and Soleus GP, LLC is the sole general partner of Soleus Capital Management. Soleus Capital, LLC is the sole general partner of Master Fund, Soleus Capital Group, LLC is the sole managing member of Soleus Capital, LLC, Soleus Capital Management is the investment manager for Master Fund, and Soleus GP, LLC is the sole general partner of Soleus Capital Management. Guy Levy is the sole managing member of each of Soleus PE GP III, LLC, Soleus Capital Group, LLC and Soleus GP, LLC. Each of Soleus PE GP, Soleus PE GP III, LLC, Soleus Capital, LLC, Soleus Capital Group, LLC, Soleus Capital Management,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Soleus PE GP, Soleus PE GP III, LLC, Soleus Capital, LLC, Soleus Capital Group, LLC, Soleus Capital Management, Soleus GP, LLC or Mr. Levy is the beneficial owner of such shares for any other purpose.</w:t>
      </w:r>
    </w:p>
    <w:p>
      <w:pPr>
        <w:spacing w:after="0" w:line="194"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percentage is calculated based upon 775,728,034 ordinary shares outstanding of the Issuer as of November 11, 2024, as set forth on the cover of the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Name of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Address of Issuer’s Principal Executive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4th Floor, One Cavendish Place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W1G 0Qf, United Kingdom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Name of Person(s) Filing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Private Equity GP III,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Private Equity Fund III,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PE GP 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Master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Management,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 Levy</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Address of Principal Business Office or, if none, Residence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Private Equity GP III, LLC</w:t>
      </w:r>
    </w:p>
    <w:p>
      <w:pPr>
        <w:spacing w:after="0" w:line="205" w:lineRule="auto"/>
        <w:rPr>
          <w:sz w:val="20"/>
          <w:szCs w:val="20"/>
          <w:color w:val="auto"/>
        </w:rPr>
      </w:pPr>
      <w:r>
        <w:rPr>
          <w:rFonts w:ascii="Times New Roman" w:cs="Times New Roman" w:eastAsia="Times New Roman" w:hAnsi="Times New Roman"/>
          <w:sz w:val="18"/>
          <w:szCs w:val="18"/>
          <w:color w:val="auto"/>
        </w:rPr>
        <w:t>104 Field Point Road,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Private Equity Fund III, L.P.</w:t>
      </w:r>
    </w:p>
    <w:p>
      <w:pPr>
        <w:spacing w:after="0" w:line="205" w:lineRule="auto"/>
        <w:rPr>
          <w:sz w:val="20"/>
          <w:szCs w:val="20"/>
          <w:color w:val="auto"/>
        </w:rPr>
      </w:pPr>
      <w:r>
        <w:rPr>
          <w:rFonts w:ascii="Times New Roman" w:cs="Times New Roman" w:eastAsia="Times New Roman" w:hAnsi="Times New Roman"/>
          <w:sz w:val="18"/>
          <w:szCs w:val="18"/>
          <w:color w:val="auto"/>
        </w:rPr>
        <w:t>104 Field Point Road,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PE GP III, LLC</w:t>
      </w:r>
    </w:p>
    <w:p>
      <w:pPr>
        <w:spacing w:after="0" w:line="205" w:lineRule="auto"/>
        <w:rPr>
          <w:sz w:val="20"/>
          <w:szCs w:val="20"/>
          <w:color w:val="auto"/>
        </w:rPr>
      </w:pPr>
      <w:r>
        <w:rPr>
          <w:rFonts w:ascii="Times New Roman" w:cs="Times New Roman" w:eastAsia="Times New Roman" w:hAnsi="Times New Roman"/>
          <w:sz w:val="18"/>
          <w:szCs w:val="18"/>
          <w:color w:val="auto"/>
        </w:rPr>
        <w:t>104 Field Point Road,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Master Fund, L.P.</w:t>
      </w:r>
    </w:p>
    <w:p>
      <w:pPr>
        <w:spacing w:after="0" w:line="205" w:lineRule="auto"/>
        <w:rPr>
          <w:sz w:val="20"/>
          <w:szCs w:val="20"/>
          <w:color w:val="auto"/>
        </w:rPr>
      </w:pPr>
      <w:r>
        <w:rPr>
          <w:rFonts w:ascii="Times New Roman" w:cs="Times New Roman" w:eastAsia="Times New Roman" w:hAnsi="Times New Roman"/>
          <w:sz w:val="18"/>
          <w:szCs w:val="18"/>
          <w:color w:val="auto"/>
        </w:rPr>
        <w:t>104 Field Point Road,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LLC</w:t>
      </w:r>
    </w:p>
    <w:p>
      <w:pPr>
        <w:spacing w:after="0" w:line="205" w:lineRule="auto"/>
        <w:rPr>
          <w:sz w:val="20"/>
          <w:szCs w:val="20"/>
          <w:color w:val="auto"/>
        </w:rPr>
      </w:pPr>
      <w:r>
        <w:rPr>
          <w:rFonts w:ascii="Times New Roman" w:cs="Times New Roman" w:eastAsia="Times New Roman" w:hAnsi="Times New Roman"/>
          <w:sz w:val="18"/>
          <w:szCs w:val="18"/>
          <w:color w:val="auto"/>
        </w:rPr>
        <w:t>104 Field Point Road,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Group, LLC</w:t>
      </w:r>
    </w:p>
    <w:p>
      <w:pPr>
        <w:spacing w:after="0" w:line="205" w:lineRule="auto"/>
        <w:rPr>
          <w:sz w:val="20"/>
          <w:szCs w:val="20"/>
          <w:color w:val="auto"/>
        </w:rPr>
      </w:pPr>
      <w:r>
        <w:rPr>
          <w:rFonts w:ascii="Times New Roman" w:cs="Times New Roman" w:eastAsia="Times New Roman" w:hAnsi="Times New Roman"/>
          <w:sz w:val="18"/>
          <w:szCs w:val="18"/>
          <w:color w:val="auto"/>
        </w:rPr>
        <w:t>104 Field Point Road,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Management, L.P.</w:t>
      </w:r>
    </w:p>
    <w:p>
      <w:pPr>
        <w:spacing w:after="0" w:line="205" w:lineRule="auto"/>
        <w:rPr>
          <w:sz w:val="20"/>
          <w:szCs w:val="20"/>
          <w:color w:val="auto"/>
        </w:rPr>
      </w:pPr>
      <w:r>
        <w:rPr>
          <w:rFonts w:ascii="Times New Roman" w:cs="Times New Roman" w:eastAsia="Times New Roman" w:hAnsi="Times New Roman"/>
          <w:sz w:val="18"/>
          <w:szCs w:val="18"/>
          <w:color w:val="auto"/>
        </w:rPr>
        <w:t>104 Field Point Road,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GP, LLC</w:t>
      </w:r>
    </w:p>
    <w:p>
      <w:pPr>
        <w:spacing w:after="0" w:line="205" w:lineRule="auto"/>
        <w:rPr>
          <w:sz w:val="20"/>
          <w:szCs w:val="20"/>
          <w:color w:val="auto"/>
        </w:rPr>
      </w:pPr>
      <w:r>
        <w:rPr>
          <w:rFonts w:ascii="Times New Roman" w:cs="Times New Roman" w:eastAsia="Times New Roman" w:hAnsi="Times New Roman"/>
          <w:sz w:val="18"/>
          <w:szCs w:val="18"/>
          <w:color w:val="auto"/>
        </w:rPr>
        <w:t>104 Field Point Road,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 Levy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Soleus Capital Management, L.P.</w:t>
      </w:r>
    </w:p>
    <w:p>
      <w:pPr>
        <w:spacing w:after="0" w:line="192" w:lineRule="auto"/>
        <w:rPr>
          <w:sz w:val="20"/>
          <w:szCs w:val="20"/>
          <w:color w:val="auto"/>
        </w:rPr>
      </w:pPr>
      <w:r>
        <w:rPr>
          <w:rFonts w:ascii="Times New Roman" w:cs="Times New Roman" w:eastAsia="Times New Roman" w:hAnsi="Times New Roman"/>
          <w:sz w:val="18"/>
          <w:szCs w:val="18"/>
          <w:color w:val="auto"/>
        </w:rPr>
        <w:t>104 Field Point Road,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0" w:lineRule="exact"/>
        <w:rPr>
          <w:sz w:val="20"/>
          <w:szCs w:val="20"/>
          <w:color w:val="auto"/>
        </w:rPr>
      </w:pPr>
    </w:p>
    <w:p>
      <w:pPr>
        <w:spacing w:after="0" w:line="22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b w:val="1"/>
          <w:bCs w:val="1"/>
          <w:color w:val="auto"/>
        </w:rPr>
        <w:t>(c)  Citizenship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Private Equity GP III, LLC –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Private Equity Fund III, L.P.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PE GP III, LLC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Master Fund, L.P. – Cayman Islands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LLC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Group, LLC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Capital Management, L.P.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Soleus GP, LLC – Delaware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Guy Levy – United States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 Title of Class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£0.003 par value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  CUSIP Number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589492107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188" w:lineRule="exact"/>
        <w:rPr>
          <w:sz w:val="20"/>
          <w:szCs w:val="20"/>
          <w:color w:val="auto"/>
        </w:rPr>
      </w:pPr>
    </w:p>
    <w:p>
      <w:pPr>
        <w:ind w:left="340" w:hanging="332"/>
        <w:spacing w:after="0" w:line="207" w:lineRule="exact"/>
        <w:tabs>
          <w:tab w:leader="none" w:pos="340"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78c).</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660" w:right="140" w:hanging="652"/>
        <w:spacing w:after="0" w:line="245" w:lineRule="exact"/>
        <w:tabs>
          <w:tab w:leader="none" w:pos="336"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158"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225" w:lineRule="exact"/>
        <w:rPr>
          <w:rFonts w:ascii="Times New Roman" w:cs="Times New Roman" w:eastAsia="Times New Roman" w:hAnsi="Times New Roman"/>
          <w:sz w:val="18"/>
          <w:szCs w:val="18"/>
          <w:color w:val="auto"/>
        </w:rPr>
      </w:pPr>
    </w:p>
    <w:p>
      <w:pPr>
        <w:ind w:left="660" w:hanging="652"/>
        <w:spacing w:after="0" w:line="245" w:lineRule="exact"/>
        <w:tabs>
          <w:tab w:leader="none" w:pos="336" w:val="left"/>
        </w:tabs>
        <w:numPr>
          <w:ilvl w:val="0"/>
          <w:numId w:val="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 If filing as a non-U.S. institution in accordance with §240.13d-1(b)(1)(ii)(J), please specify the type of institution:</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required by this item with respect to reach reporting person is set forth in rows 5 – 11 on the cover pages to this Schedule 13G.</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noted on the cover pages of this Schedule 13G, Soleus PE GP III, LLC is the sole manager of Soleus PE GP, Soleus PE GP is the sole general partner of Soleus PE, Soleus Capital Management is the investment manager for Soleus PE and for Master Fund, and Soleus GP, LLC is the sole general partner of Soleus Capital Management. As the sole managing member of each of Soleus PE GP III, LLC and of Soleus GP, LLC, Guy Levy may be deemed to have shared power to vote or direct the vote and to dispose or to direct the disposition of the securities held directly by Soleus PE.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noted on the cover pages of this Schedule 13G, Soleus Capital Group, LLC is the sole managing member of Soleus Capital, LLC, Soleus Capital LLC is the sole general partner of Master Fund, Soleus Capital Management is the investment manager for Soleus PE and for Master Fund, and Soleus GP, LLC is the sole general partner of Soleus Capital Management. As the sole managing member of each of Soleus Capital Group, LLC and of Soleus GP, LLC, Mr.</w:t>
      </w:r>
    </w:p>
    <w:p>
      <w:pPr>
        <w:spacing w:after="0" w:line="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Levy may be deemed to have shared power to vote or direct the vote and to dispose or to direct the disposition of the securities held directly by Master Fund.</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Each of Soleus PE GP, Soleus PE GP III, LLC, Soleus Capital, LLC, Soleus Capital Group, LLC, Soleus Capital Management, Soleus GP, LLC and Mr. Levy disclaims beneficial ownership of these shares held directly by Soleus PE and Master Fund other than for the purpose of determining their obligations under Section 13(d) of the Exchange Act, and the filing of this report shall not be deemed an admission that any of Soleus PE GP, Soleus PE GP III, LLC, Soleus Capital, LLC, Soleus Capital Group, LLC, Soleus Capital Management, Soleus GP, LLC or Mr. Levy is the beneficial owner of such shares for any other purpose.</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certify that the information set forth in this statement is true, complete and correct.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Private Equity Fund III, L.P.</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Soleus Private Equity GP III, LLC, its General Partner</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PE GP III, LLC, its Manager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Private Equity GP III, LLC</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PE GP III, LLC, its Manager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PE GP III,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Master Fund, L.P.</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LLC, its General Partner</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LLC</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Group,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Management, L.P.</w:t>
            </w:r>
          </w:p>
        </w:tc>
      </w:tr>
      <w:tr>
        <w:trPr>
          <w:trHeight w:val="432"/>
        </w:trPr>
        <w:tc>
          <w:tcPr>
            <w:tcW w:w="67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Soleus GP, LLC, its General Partner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GP,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234"/>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Guy Levy</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Footnotes: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Attention: Intentional misstatements or omissions of fact constitute Federal criminal violations (See 18 U.S.C. 1001)</w:t>
      </w:r>
    </w:p>
    <w:p>
      <w:pPr>
        <w:sectPr>
          <w:pgSz w:w="11900" w:h="16838" w:orient="portrait"/>
          <w:cols w:equalWidth="0" w:num="1">
            <w:col w:w="11240"/>
          </w:cols>
          <w:pgMar w:left="320" w:top="333" w:right="339" w:bottom="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Soleus Private Equity GP III, LLC, a Delaware limited liability company, Soleus Private Equity Fund III, L.P., a Delaware limited partnership, Soleus PE GP III, LLC, a Delaware limited liability company, Soleus Capital Master Fund, L.P., a Cayman Islands exempted limited partnership, Soleus Capital, LLC, a Delaware limited liability company, Soleus Capital Group, LLC, a Delaware limited liability company, Soleus Capital Management, L.P., a Delaware limited partnership, Soleus GP, LLC, a Delaware limited liability company, and Guy Levy, an individual, hereby agree to file jointly the statement on Schedule 13G to which this Joint Filing Agreement is attached, and any amendments thereto which may be deemed necessary, pursuant to Regulation 13D-G under the Securities Exchange Act of 1934, as amended.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69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Soleus Private Equity Fund III, L.P.</w:t>
            </w:r>
          </w:p>
        </w:tc>
      </w:tr>
      <w:tr>
        <w:trPr>
          <w:trHeight w:val="432"/>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w w:val="99"/>
              </w:rPr>
              <w:t>Soleus Private Equity GP III, LLC, its General Partner</w:t>
            </w:r>
          </w:p>
        </w:tc>
      </w:tr>
      <w:tr>
        <w:trPr>
          <w:trHeight w:val="432"/>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PE GP III, LLC, its Manager</w:t>
            </w:r>
          </w:p>
        </w:tc>
      </w:tr>
      <w:tr>
        <w:trPr>
          <w:trHeight w:val="439"/>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4320" w:type="dxa"/>
            <w:vAlign w:val="bottom"/>
          </w:tcPr>
          <w:p>
            <w:pPr>
              <w:spacing w:after="0"/>
              <w:rPr>
                <w:sz w:val="20"/>
                <w:szCs w:val="20"/>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69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Soleus Private Equity GP III, LLC</w:t>
            </w:r>
          </w:p>
        </w:tc>
      </w:tr>
      <w:tr>
        <w:trPr>
          <w:trHeight w:val="432"/>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PE GP III, LLC, its Manager</w:t>
            </w:r>
          </w:p>
        </w:tc>
      </w:tr>
      <w:tr>
        <w:trPr>
          <w:trHeight w:val="439"/>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4320" w:type="dxa"/>
            <w:vAlign w:val="bottom"/>
          </w:tcPr>
          <w:p>
            <w:pPr>
              <w:spacing w:after="0"/>
              <w:rPr>
                <w:sz w:val="20"/>
                <w:szCs w:val="20"/>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69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Soleus PE GP III, LLC</w:t>
            </w:r>
          </w:p>
        </w:tc>
      </w:tr>
      <w:tr>
        <w:trPr>
          <w:trHeight w:val="439"/>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4320" w:type="dxa"/>
            <w:vAlign w:val="bottom"/>
          </w:tcPr>
          <w:p>
            <w:pPr>
              <w:spacing w:after="0"/>
              <w:rPr>
                <w:sz w:val="20"/>
                <w:szCs w:val="20"/>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69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Soleus Capital Master Fund, L.P.</w:t>
            </w:r>
          </w:p>
        </w:tc>
      </w:tr>
      <w:tr>
        <w:trPr>
          <w:trHeight w:val="432"/>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LLC, its General Partner</w:t>
            </w:r>
          </w:p>
        </w:tc>
      </w:tr>
      <w:tr>
        <w:trPr>
          <w:trHeight w:val="432"/>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9"/>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4320" w:type="dxa"/>
            <w:vAlign w:val="bottom"/>
          </w:tcPr>
          <w:p>
            <w:pPr>
              <w:spacing w:after="0"/>
              <w:rPr>
                <w:sz w:val="20"/>
                <w:szCs w:val="20"/>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69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Soleus Capital, LLC</w:t>
            </w:r>
          </w:p>
        </w:tc>
      </w:tr>
      <w:tr>
        <w:trPr>
          <w:trHeight w:val="432"/>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9"/>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4320" w:type="dxa"/>
            <w:vAlign w:val="bottom"/>
          </w:tcPr>
          <w:p>
            <w:pPr>
              <w:spacing w:after="0"/>
              <w:rPr>
                <w:sz w:val="20"/>
                <w:szCs w:val="20"/>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692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Soleus Capital Group, LLC</w:t>
            </w:r>
          </w:p>
        </w:tc>
      </w:tr>
      <w:tr>
        <w:trPr>
          <w:trHeight w:val="439"/>
        </w:trPr>
        <w:tc>
          <w:tcPr>
            <w:tcW w:w="4320" w:type="dxa"/>
            <w:vAlign w:val="bottom"/>
          </w:tcPr>
          <w:p>
            <w:pPr>
              <w:spacing w:after="0"/>
              <w:rPr>
                <w:sz w:val="24"/>
                <w:szCs w:val="24"/>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4320" w:type="dxa"/>
            <w:vAlign w:val="bottom"/>
          </w:tcPr>
          <w:p>
            <w:pPr>
              <w:spacing w:after="0"/>
              <w:rPr>
                <w:sz w:val="17"/>
                <w:szCs w:val="17"/>
                <w:color w:val="auto"/>
              </w:rPr>
            </w:pPr>
          </w:p>
        </w:tc>
        <w:tc>
          <w:tcPr>
            <w:tcW w:w="3000" w:type="dxa"/>
            <w:vAlign w:val="bottom"/>
          </w:tcPr>
          <w:p>
            <w:pPr>
              <w:ind w:left="24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4320" w:type="dxa"/>
            <w:vAlign w:val="bottom"/>
          </w:tcPr>
          <w:p>
            <w:pPr>
              <w:spacing w:after="0"/>
              <w:rPr>
                <w:sz w:val="20"/>
                <w:szCs w:val="20"/>
                <w:color w:val="auto"/>
              </w:rPr>
            </w:pPr>
          </w:p>
        </w:tc>
        <w:tc>
          <w:tcPr>
            <w:tcW w:w="300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709"/>
        </w:trPr>
        <w:tc>
          <w:tcPr>
            <w:tcW w:w="4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771"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Management, L.P.</w:t>
            </w:r>
          </w:p>
        </w:tc>
      </w:tr>
      <w:tr>
        <w:trPr>
          <w:trHeight w:val="432"/>
        </w:trPr>
        <w:tc>
          <w:tcPr>
            <w:tcW w:w="6760" w:type="dxa"/>
            <w:vAlign w:val="bottom"/>
          </w:tcPr>
          <w:p>
            <w:pPr>
              <w:spacing w:after="0"/>
              <w:rPr>
                <w:sz w:val="24"/>
                <w:szCs w:val="24"/>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Soleus GP, LLC, its General Partner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GP,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November 14, 2024</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234"/>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Guy Levy</w:t>
            </w:r>
          </w:p>
        </w:tc>
      </w:tr>
      <w:tr>
        <w:trPr>
          <w:trHeight w:val="421"/>
        </w:trPr>
        <w:tc>
          <w:tcPr>
            <w:tcW w:w="67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bullet"/>
      <w:start w:val="1"/>
    </w:lvl>
  </w:abstractNum>
  <w:abstractNum w:abstractNumId="6">
    <w:nsid w:val="5C482A97"/>
    <w:multiLevelType w:val="hybridMultilevel"/>
    <w:lvl w:ilvl="0">
      <w:lvlJc w:val="left"/>
      <w:lvlText w:val="2"/>
      <w:numFmt w:val="bullet"/>
      <w:start w:val="1"/>
    </w:lvl>
  </w:abstractNum>
  <w:abstractNum w:abstractNumId="7">
    <w:nsid w:val="2463B9EA"/>
    <w:multiLevelType w:val="hybridMultilevel"/>
    <w:lvl w:ilvl="0">
      <w:lvlJc w:val="left"/>
      <w:lvlText w:val="3"/>
      <w:numFmt w:val="bullet"/>
      <w:start w:val="1"/>
    </w:lvl>
  </w:abstractNum>
  <w:abstractNum w:abstractNumId="8">
    <w:nsid w:val="5E884ADC"/>
    <w:multiLevelType w:val="hybridMultilevel"/>
    <w:lvl w:ilvl="0">
      <w:lvlJc w:val="left"/>
      <w:lvlText w:val="4"/>
      <w:numFmt w:val="bullet"/>
      <w:start w:val="1"/>
    </w:lvl>
  </w:abstractNum>
  <w:abstractNum w:abstractNumId="9">
    <w:nsid w:val="51EAD36B"/>
    <w:multiLevelType w:val="hybridMultilevel"/>
    <w:lvl w:ilvl="0">
      <w:lvlJc w:val="left"/>
      <w:lvlText w:val="9"/>
      <w:numFmt w:val="bullet"/>
      <w:start w:val="1"/>
    </w:lvl>
  </w:abstractNum>
  <w:abstractNum w:abstractNumId="10">
    <w:nsid w:val="2D517796"/>
    <w:multiLevelType w:val="hybridMultilevel"/>
    <w:lvl w:ilvl="0">
      <w:lvlJc w:val="left"/>
      <w:lvlText w:val="%1"/>
      <w:numFmt w:val="decimal"/>
      <w:start w:val="10"/>
    </w:lvl>
  </w:abstractNum>
  <w:abstractNum w:abstractNumId="11">
    <w:nsid w:val="580BD78F"/>
    <w:multiLevelType w:val="hybridMultilevel"/>
    <w:lvl w:ilvl="0">
      <w:lvlJc w:val="left"/>
      <w:lvlText w:val="(%1)"/>
      <w:numFmt w:val="decimal"/>
      <w:start w:val="1"/>
    </w:lvl>
  </w:abstractNum>
  <w:abstractNum w:abstractNumId="12">
    <w:nsid w:val="153EA438"/>
    <w:multiLevelType w:val="hybridMultilevel"/>
    <w:lvl w:ilvl="0">
      <w:lvlJc w:val="left"/>
      <w:lvlText w:val="1"/>
      <w:numFmt w:val="bullet"/>
      <w:start w:val="1"/>
    </w:lvl>
  </w:abstractNum>
  <w:abstractNum w:abstractNumId="13">
    <w:nsid w:val="3855585C"/>
    <w:multiLevelType w:val="hybridMultilevel"/>
    <w:lvl w:ilvl="0">
      <w:lvlJc w:val="left"/>
      <w:lvlText w:val="2"/>
      <w:numFmt w:val="bullet"/>
      <w:start w:val="1"/>
    </w:lvl>
  </w:abstractNum>
  <w:abstractNum w:abstractNumId="14">
    <w:nsid w:val="70A64E2A"/>
    <w:multiLevelType w:val="hybridMultilevel"/>
    <w:lvl w:ilvl="0">
      <w:lvlJc w:val="left"/>
      <w:lvlText w:val="3"/>
      <w:numFmt w:val="bullet"/>
      <w:start w:val="1"/>
    </w:lvl>
  </w:abstractNum>
  <w:abstractNum w:abstractNumId="15">
    <w:nsid w:val="6A2342EC"/>
    <w:multiLevelType w:val="hybridMultilevel"/>
    <w:lvl w:ilvl="0">
      <w:lvlJc w:val="left"/>
      <w:lvlText w:val="4"/>
      <w:numFmt w:val="bullet"/>
      <w:start w:val="1"/>
    </w:lvl>
  </w:abstractNum>
  <w:abstractNum w:abstractNumId="16">
    <w:nsid w:val="2A487CB0"/>
    <w:multiLevelType w:val="hybridMultilevel"/>
    <w:lvl w:ilvl="0">
      <w:lvlJc w:val="left"/>
      <w:lvlText w:val="9"/>
      <w:numFmt w:val="bullet"/>
      <w:start w:val="1"/>
    </w:lvl>
  </w:abstractNum>
  <w:abstractNum w:abstractNumId="17">
    <w:nsid w:val="1D4ED43B"/>
    <w:multiLevelType w:val="hybridMultilevel"/>
    <w:lvl w:ilvl="0">
      <w:lvlJc w:val="left"/>
      <w:lvlText w:val="%1"/>
      <w:numFmt w:val="decimal"/>
      <w:start w:val="10"/>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bullet"/>
      <w:start w:val="1"/>
    </w:lvl>
  </w:abstractNum>
  <w:abstractNum w:abstractNumId="20">
    <w:nsid w:val="57E4CCAF"/>
    <w:multiLevelType w:val="hybridMultilevel"/>
    <w:lvl w:ilvl="0">
      <w:lvlJc w:val="left"/>
      <w:lvlText w:val="2"/>
      <w:numFmt w:val="bullet"/>
      <w:start w:val="1"/>
    </w:lvl>
  </w:abstractNum>
  <w:abstractNum w:abstractNumId="21">
    <w:nsid w:val="7A6D8D3C"/>
    <w:multiLevelType w:val="hybridMultilevel"/>
    <w:lvl w:ilvl="0">
      <w:lvlJc w:val="left"/>
      <w:lvlText w:val="3"/>
      <w:numFmt w:val="bullet"/>
      <w:start w:val="1"/>
    </w:lvl>
  </w:abstractNum>
  <w:abstractNum w:abstractNumId="22">
    <w:nsid w:val="4B588F54"/>
    <w:multiLevelType w:val="hybridMultilevel"/>
    <w:lvl w:ilvl="0">
      <w:lvlJc w:val="left"/>
      <w:lvlText w:val="4"/>
      <w:numFmt w:val="bullet"/>
      <w:start w:val="1"/>
    </w:lvl>
  </w:abstractNum>
  <w:abstractNum w:abstractNumId="23">
    <w:nsid w:val="542289EC"/>
    <w:multiLevelType w:val="hybridMultilevel"/>
    <w:lvl w:ilvl="0">
      <w:lvlJc w:val="left"/>
      <w:lvlText w:val="9"/>
      <w:numFmt w:val="bullet"/>
      <w:start w:val="1"/>
    </w:lvl>
  </w:abstractNum>
  <w:abstractNum w:abstractNumId="24">
    <w:nsid w:val="6DE91B18"/>
    <w:multiLevelType w:val="hybridMultilevel"/>
    <w:lvl w:ilvl="0">
      <w:lvlJc w:val="left"/>
      <w:lvlText w:val="%1"/>
      <w:numFmt w:val="decimal"/>
      <w:start w:val="10"/>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bullet"/>
      <w:start w:val="1"/>
    </w:lvl>
  </w:abstractNum>
  <w:abstractNum w:abstractNumId="27">
    <w:nsid w:val="32FFF902"/>
    <w:multiLevelType w:val="hybridMultilevel"/>
    <w:lvl w:ilvl="0">
      <w:lvlJc w:val="left"/>
      <w:lvlText w:val="2"/>
      <w:numFmt w:val="bullet"/>
      <w:start w:val="1"/>
    </w:lvl>
  </w:abstractNum>
  <w:abstractNum w:abstractNumId="28">
    <w:nsid w:val="684A481A"/>
    <w:multiLevelType w:val="hybridMultilevel"/>
    <w:lvl w:ilvl="0">
      <w:lvlJc w:val="left"/>
      <w:lvlText w:val="3"/>
      <w:numFmt w:val="bullet"/>
      <w:start w:val="1"/>
    </w:lvl>
  </w:abstractNum>
  <w:abstractNum w:abstractNumId="29">
    <w:nsid w:val="579478FE"/>
    <w:multiLevelType w:val="hybridMultilevel"/>
    <w:lvl w:ilvl="0">
      <w:lvlJc w:val="left"/>
      <w:lvlText w:val="4"/>
      <w:numFmt w:val="bullet"/>
      <w:start w:val="1"/>
    </w:lvl>
  </w:abstractNum>
  <w:abstractNum w:abstractNumId="30">
    <w:nsid w:val="749ABB43"/>
    <w:multiLevelType w:val="hybridMultilevel"/>
    <w:lvl w:ilvl="0">
      <w:lvlJc w:val="left"/>
      <w:lvlText w:val="9"/>
      <w:numFmt w:val="bullet"/>
      <w:start w:val="1"/>
    </w:lvl>
  </w:abstractNum>
  <w:abstractNum w:abstractNumId="31">
    <w:nsid w:val="3DC240FB"/>
    <w:multiLevelType w:val="hybridMultilevel"/>
    <w:lvl w:ilvl="0">
      <w:lvlJc w:val="left"/>
      <w:lvlText w:val="%1"/>
      <w:numFmt w:val="decimal"/>
      <w:start w:val="10"/>
    </w:lvl>
  </w:abstractNum>
  <w:abstractNum w:abstractNumId="32">
    <w:nsid w:val="1BA026FA"/>
    <w:multiLevelType w:val="hybridMultilevel"/>
    <w:lvl w:ilvl="0">
      <w:lvlJc w:val="left"/>
      <w:lvlText w:val="(%1)"/>
      <w:numFmt w:val="decimal"/>
      <w:start w:val="1"/>
    </w:lvl>
  </w:abstractNum>
  <w:abstractNum w:abstractNumId="33">
    <w:nsid w:val="79A1DEAA"/>
    <w:multiLevelType w:val="hybridMultilevel"/>
    <w:lvl w:ilvl="0">
      <w:lvlJc w:val="left"/>
      <w:lvlText w:val="1"/>
      <w:numFmt w:val="bullet"/>
      <w:start w:val="1"/>
    </w:lvl>
  </w:abstractNum>
  <w:abstractNum w:abstractNumId="34">
    <w:nsid w:val="75C6C33A"/>
    <w:multiLevelType w:val="hybridMultilevel"/>
    <w:lvl w:ilvl="0">
      <w:lvlJc w:val="left"/>
      <w:lvlText w:val="2"/>
      <w:numFmt w:val="bullet"/>
      <w:start w:val="1"/>
    </w:lvl>
  </w:abstractNum>
  <w:abstractNum w:abstractNumId="35">
    <w:nsid w:val="12E685FB"/>
    <w:multiLevelType w:val="hybridMultilevel"/>
    <w:lvl w:ilvl="0">
      <w:lvlJc w:val="left"/>
      <w:lvlText w:val="3"/>
      <w:numFmt w:val="bullet"/>
      <w:start w:val="1"/>
    </w:lvl>
  </w:abstractNum>
  <w:abstractNum w:abstractNumId="36">
    <w:nsid w:val="70C6A529"/>
    <w:multiLevelType w:val="hybridMultilevel"/>
    <w:lvl w:ilvl="0">
      <w:lvlJc w:val="left"/>
      <w:lvlText w:val="4"/>
      <w:numFmt w:val="bullet"/>
      <w:start w:val="1"/>
    </w:lvl>
  </w:abstractNum>
  <w:abstractNum w:abstractNumId="37">
    <w:nsid w:val="520EEDD1"/>
    <w:multiLevelType w:val="hybridMultilevel"/>
    <w:lvl w:ilvl="0">
      <w:lvlJc w:val="left"/>
      <w:lvlText w:val="9"/>
      <w:numFmt w:val="bullet"/>
      <w:start w:val="1"/>
    </w:lvl>
  </w:abstractNum>
  <w:abstractNum w:abstractNumId="38">
    <w:nsid w:val="374A3FE6"/>
    <w:multiLevelType w:val="hybridMultilevel"/>
    <w:lvl w:ilvl="0">
      <w:lvlJc w:val="left"/>
      <w:lvlText w:val="%1"/>
      <w:numFmt w:val="decimal"/>
      <w:start w:val="10"/>
    </w:lvl>
  </w:abstractNum>
  <w:abstractNum w:abstractNumId="39">
    <w:nsid w:val="4F4EF005"/>
    <w:multiLevelType w:val="hybridMultilevel"/>
    <w:lvl w:ilvl="0">
      <w:lvlJc w:val="left"/>
      <w:lvlText w:val="(%1)"/>
      <w:numFmt w:val="decimal"/>
      <w:start w:val="1"/>
    </w:lvl>
  </w:abstractNum>
  <w:abstractNum w:abstractNumId="40">
    <w:nsid w:val="23F9C13C"/>
    <w:multiLevelType w:val="hybridMultilevel"/>
    <w:lvl w:ilvl="0">
      <w:lvlJc w:val="left"/>
      <w:lvlText w:val="1"/>
      <w:numFmt w:val="bullet"/>
      <w:start w:val="1"/>
    </w:lvl>
  </w:abstractNum>
  <w:abstractNum w:abstractNumId="41">
    <w:nsid w:val="649BB77C"/>
    <w:multiLevelType w:val="hybridMultilevel"/>
    <w:lvl w:ilvl="0">
      <w:lvlJc w:val="left"/>
      <w:lvlText w:val="2"/>
      <w:numFmt w:val="bullet"/>
      <w:start w:val="1"/>
    </w:lvl>
  </w:abstractNum>
  <w:abstractNum w:abstractNumId="42">
    <w:nsid w:val="275AC794"/>
    <w:multiLevelType w:val="hybridMultilevel"/>
    <w:lvl w:ilvl="0">
      <w:lvlJc w:val="left"/>
      <w:lvlText w:val="3"/>
      <w:numFmt w:val="bullet"/>
      <w:start w:val="1"/>
    </w:lvl>
  </w:abstractNum>
  <w:abstractNum w:abstractNumId="43">
    <w:nsid w:val="39386575"/>
    <w:multiLevelType w:val="hybridMultilevel"/>
    <w:lvl w:ilvl="0">
      <w:lvlJc w:val="left"/>
      <w:lvlText w:val="4"/>
      <w:numFmt w:val="bullet"/>
      <w:start w:val="1"/>
    </w:lvl>
  </w:abstractNum>
  <w:abstractNum w:abstractNumId="44">
    <w:nsid w:val="1CF10FD8"/>
    <w:multiLevelType w:val="hybridMultilevel"/>
    <w:lvl w:ilvl="0">
      <w:lvlJc w:val="left"/>
      <w:lvlText w:val="9"/>
      <w:numFmt w:val="bullet"/>
      <w:start w:val="1"/>
    </w:lvl>
  </w:abstractNum>
  <w:abstractNum w:abstractNumId="45">
    <w:nsid w:val="180115BE"/>
    <w:multiLevelType w:val="hybridMultilevel"/>
    <w:lvl w:ilvl="0">
      <w:lvlJc w:val="left"/>
      <w:lvlText w:val="%1"/>
      <w:numFmt w:val="decimal"/>
      <w:start w:val="10"/>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bullet"/>
      <w:start w:val="1"/>
    </w:lvl>
  </w:abstractNum>
  <w:abstractNum w:abstractNumId="48">
    <w:nsid w:val="354FE9F9"/>
    <w:multiLevelType w:val="hybridMultilevel"/>
    <w:lvl w:ilvl="0">
      <w:lvlJc w:val="left"/>
      <w:lvlText w:val="2"/>
      <w:numFmt w:val="bullet"/>
      <w:start w:val="1"/>
    </w:lvl>
  </w:abstractNum>
  <w:abstractNum w:abstractNumId="49">
    <w:nsid w:val="15B5AF5C"/>
    <w:multiLevelType w:val="hybridMultilevel"/>
    <w:lvl w:ilvl="0">
      <w:lvlJc w:val="left"/>
      <w:lvlText w:val="3"/>
      <w:numFmt w:val="bullet"/>
      <w:start w:val="1"/>
    </w:lvl>
  </w:abstractNum>
  <w:abstractNum w:abstractNumId="50">
    <w:nsid w:val="741226BB"/>
    <w:multiLevelType w:val="hybridMultilevel"/>
    <w:lvl w:ilvl="0">
      <w:lvlJc w:val="left"/>
      <w:lvlText w:val="4"/>
      <w:numFmt w:val="bullet"/>
      <w:start w:val="1"/>
    </w:lvl>
  </w:abstractNum>
  <w:abstractNum w:abstractNumId="51">
    <w:nsid w:val="D34B6A8"/>
    <w:multiLevelType w:val="hybridMultilevel"/>
    <w:lvl w:ilvl="0">
      <w:lvlJc w:val="left"/>
      <w:lvlText w:val="9"/>
      <w:numFmt w:val="bullet"/>
      <w:start w:val="1"/>
    </w:lvl>
  </w:abstractNum>
  <w:abstractNum w:abstractNumId="52">
    <w:nsid w:val="10233C99"/>
    <w:multiLevelType w:val="hybridMultilevel"/>
    <w:lvl w:ilvl="0">
      <w:lvlJc w:val="left"/>
      <w:lvlText w:val="%1"/>
      <w:numFmt w:val="decimal"/>
      <w:start w:val="10"/>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bullet"/>
      <w:start w:val="1"/>
    </w:lvl>
  </w:abstractNum>
  <w:abstractNum w:abstractNumId="55">
    <w:nsid w:val="7E0C57B1"/>
    <w:multiLevelType w:val="hybridMultilevel"/>
    <w:lvl w:ilvl="0">
      <w:lvlJc w:val="left"/>
      <w:lvlText w:val="2"/>
      <w:numFmt w:val="bullet"/>
      <w:start w:val="1"/>
    </w:lvl>
  </w:abstractNum>
  <w:abstractNum w:abstractNumId="56">
    <w:nsid w:val="77AE35EB"/>
    <w:multiLevelType w:val="hybridMultilevel"/>
    <w:lvl w:ilvl="0">
      <w:lvlJc w:val="left"/>
      <w:lvlText w:val="3"/>
      <w:numFmt w:val="bullet"/>
      <w:start w:val="1"/>
    </w:lvl>
  </w:abstractNum>
  <w:abstractNum w:abstractNumId="57">
    <w:nsid w:val="579BE4F1"/>
    <w:multiLevelType w:val="hybridMultilevel"/>
    <w:lvl w:ilvl="0">
      <w:lvlJc w:val="left"/>
      <w:lvlText w:val="4"/>
      <w:numFmt w:val="bullet"/>
      <w:start w:val="1"/>
    </w:lvl>
  </w:abstractNum>
  <w:abstractNum w:abstractNumId="58">
    <w:nsid w:val="310C50B3"/>
    <w:multiLevelType w:val="hybridMultilevel"/>
    <w:lvl w:ilvl="0">
      <w:lvlJc w:val="left"/>
      <w:lvlText w:val="9"/>
      <w:numFmt w:val="bullet"/>
      <w:start w:val="1"/>
    </w:lvl>
  </w:abstractNum>
  <w:abstractNum w:abstractNumId="59">
    <w:nsid w:val="5FF87E05"/>
    <w:multiLevelType w:val="hybridMultilevel"/>
    <w:lvl w:ilvl="0">
      <w:lvlJc w:val="left"/>
      <w:lvlText w:val="%1"/>
      <w:numFmt w:val="decimal"/>
      <w:start w:val="10"/>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bullet"/>
      <w:start w:val="1"/>
    </w:lvl>
  </w:abstractNum>
  <w:abstractNum w:abstractNumId="62">
    <w:nsid w:val="1DBABF00"/>
    <w:multiLevelType w:val="hybridMultilevel"/>
    <w:lvl w:ilvl="0">
      <w:lvlJc w:val="left"/>
      <w:lvlText w:val="2"/>
      <w:numFmt w:val="bullet"/>
      <w:start w:val="1"/>
    </w:lvl>
  </w:abstractNum>
  <w:abstractNum w:abstractNumId="63">
    <w:nsid w:val="4AD084E9"/>
    <w:multiLevelType w:val="hybridMultilevel"/>
    <w:lvl w:ilvl="0">
      <w:lvlJc w:val="left"/>
      <w:lvlText w:val="3"/>
      <w:numFmt w:val="bullet"/>
      <w:start w:val="1"/>
    </w:lvl>
  </w:abstractNum>
  <w:abstractNum w:abstractNumId="64">
    <w:nsid w:val="1F48EAA1"/>
    <w:multiLevelType w:val="hybridMultilevel"/>
    <w:lvl w:ilvl="0">
      <w:lvlJc w:val="left"/>
      <w:lvlText w:val="4"/>
      <w:numFmt w:val="bullet"/>
      <w:start w:val="1"/>
    </w:lvl>
  </w:abstractNum>
  <w:abstractNum w:abstractNumId="65">
    <w:nsid w:val="1381823A"/>
    <w:multiLevelType w:val="hybridMultilevel"/>
    <w:lvl w:ilvl="0">
      <w:lvlJc w:val="left"/>
      <w:lvlText w:val="9"/>
      <w:numFmt w:val="bullet"/>
      <w:start w:val="1"/>
    </w:lvl>
  </w:abstractNum>
  <w:abstractNum w:abstractNumId="66">
    <w:nsid w:val="5DB70AE5"/>
    <w:multiLevelType w:val="hybridMultilevel"/>
    <w:lvl w:ilvl="0">
      <w:lvlJc w:val="left"/>
      <w:lvlText w:val="%1"/>
      <w:numFmt w:val="decimal"/>
      <w:start w:val="10"/>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2024-11-14T14:42:01Z</dcterms:created>
  <dcterms:modified xsi:type="dcterms:W3CDTF">2024-11-14T14:42:01Z</dcterms:modified>
</cp:coreProperties>
</file>